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F91CC6">
      <w:pPr>
        <w:pStyle w:val="5"/>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79" w:lineRule="exact"/>
        <w:ind w:right="0"/>
        <w:textAlignment w:val="auto"/>
        <w:rPr>
          <w:rFonts w:hint="eastAsia" w:ascii="Times New Roman" w:hAnsi="Times New Roman" w:eastAsia="黑体" w:cs="Times New Roman"/>
          <w:color w:val="auto"/>
          <w:kern w:val="2"/>
          <w:sz w:val="32"/>
          <w:szCs w:val="32"/>
          <w:lang w:val="en-US" w:eastAsia="zh-CN" w:bidi="ar-SA"/>
        </w:rPr>
      </w:pPr>
      <w:r>
        <w:rPr>
          <w:rFonts w:hint="default" w:ascii="仿宋_GB2312" w:hAnsi="方正小标宋简体" w:eastAsia="仿宋_GB2312" w:cs="Times New Roman"/>
          <w:kern w:val="2"/>
          <w:sz w:val="32"/>
          <w:szCs w:val="32"/>
          <w:lang w:val="en-US" w:eastAsia="zh-CN" w:bidi="ar-SA"/>
        </w:rPr>
        <w:t>附件</w:t>
      </w:r>
      <w:r>
        <w:rPr>
          <w:rFonts w:hint="eastAsia" w:ascii="仿宋_GB2312" w:hAnsi="方正小标宋简体" w:eastAsia="仿宋_GB2312" w:cs="Times New Roman"/>
          <w:kern w:val="2"/>
          <w:sz w:val="32"/>
          <w:szCs w:val="32"/>
          <w:lang w:val="en-US" w:eastAsia="zh-CN" w:bidi="ar-SA"/>
        </w:rPr>
        <w:t>：</w:t>
      </w:r>
    </w:p>
    <w:p w14:paraId="11BD6F24">
      <w:pPr>
        <w:jc w:val="center"/>
        <w:rPr>
          <w:rFonts w:hint="eastAsia" w:ascii="黑体" w:hAnsi="黑体" w:eastAsia="黑体" w:cs="黑体"/>
          <w:color w:val="auto"/>
          <w:sz w:val="36"/>
          <w:szCs w:val="36"/>
          <w:lang w:val="en-US" w:eastAsia="zh-CN"/>
        </w:rPr>
      </w:pPr>
      <w:r>
        <w:rPr>
          <w:rFonts w:hint="eastAsia" w:ascii="黑体" w:hAnsi="黑体" w:eastAsia="黑体" w:cs="黑体"/>
          <w:color w:val="auto"/>
          <w:sz w:val="36"/>
          <w:szCs w:val="36"/>
          <w:lang w:val="en-US" w:eastAsia="zh-CN"/>
        </w:rPr>
        <w:t>关于印发《邵阳市住房公积金行政处罚裁量权基准</w:t>
      </w:r>
    </w:p>
    <w:p w14:paraId="06692D3C">
      <w:pPr>
        <w:jc w:val="center"/>
        <w:rPr>
          <w:rFonts w:hint="eastAsia" w:ascii="黑体" w:hAnsi="黑体" w:eastAsia="黑体" w:cs="黑体"/>
          <w:color w:val="auto"/>
          <w:sz w:val="36"/>
          <w:szCs w:val="36"/>
          <w:lang w:val="en-US" w:eastAsia="zh-CN"/>
        </w:rPr>
      </w:pPr>
      <w:r>
        <w:rPr>
          <w:rFonts w:hint="eastAsia" w:ascii="黑体" w:hAnsi="黑体" w:eastAsia="黑体" w:cs="黑体"/>
          <w:color w:val="auto"/>
          <w:sz w:val="36"/>
          <w:szCs w:val="36"/>
          <w:lang w:val="en-US" w:eastAsia="zh-CN"/>
        </w:rPr>
        <w:t>（暂行）》《邵阳市住房公积金管理中心行政执法</w:t>
      </w:r>
    </w:p>
    <w:p w14:paraId="037A7028">
      <w:pPr>
        <w:jc w:val="center"/>
        <w:rPr>
          <w:rFonts w:hint="eastAsia" w:ascii="黑体" w:hAnsi="黑体" w:eastAsia="黑体" w:cs="黑体"/>
          <w:color w:val="auto"/>
          <w:sz w:val="36"/>
          <w:szCs w:val="36"/>
          <w:lang w:val="en-US" w:eastAsia="zh-CN"/>
        </w:rPr>
      </w:pPr>
      <w:r>
        <w:rPr>
          <w:rFonts w:hint="eastAsia" w:ascii="黑体" w:hAnsi="黑体" w:eastAsia="黑体" w:cs="黑体"/>
          <w:color w:val="auto"/>
          <w:sz w:val="36"/>
          <w:szCs w:val="36"/>
          <w:lang w:val="en-US" w:eastAsia="zh-CN"/>
        </w:rPr>
        <w:t>事项目录》《邵阳市住房公积金管理中心</w:t>
      </w:r>
    </w:p>
    <w:p w14:paraId="5C81D1B6">
      <w:pPr>
        <w:jc w:val="center"/>
        <w:rPr>
          <w:rFonts w:hint="eastAsia" w:ascii="黑体" w:hAnsi="黑体" w:eastAsia="黑体" w:cs="黑体"/>
          <w:color w:val="auto"/>
          <w:sz w:val="36"/>
          <w:szCs w:val="36"/>
          <w:lang w:val="en-US" w:eastAsia="zh-CN"/>
        </w:rPr>
      </w:pPr>
      <w:r>
        <w:rPr>
          <w:rFonts w:hint="eastAsia" w:ascii="黑体" w:hAnsi="黑体" w:eastAsia="黑体" w:cs="黑体"/>
          <w:color w:val="auto"/>
          <w:sz w:val="36"/>
          <w:szCs w:val="36"/>
          <w:lang w:val="en-US" w:eastAsia="zh-CN"/>
        </w:rPr>
        <w:t>免于行政处罚事项清单》的通知</w:t>
      </w:r>
    </w:p>
    <w:p w14:paraId="03BC343A">
      <w:pPr>
        <w:jc w:val="center"/>
        <w:rPr>
          <w:rFonts w:hint="default" w:ascii="黑体" w:hAnsi="黑体" w:eastAsia="黑体" w:cs="黑体"/>
          <w:color w:val="auto"/>
          <w:sz w:val="36"/>
          <w:szCs w:val="36"/>
          <w:lang w:val="en-US" w:eastAsia="zh-CN"/>
        </w:rPr>
      </w:pPr>
      <w:r>
        <w:rPr>
          <w:rFonts w:hint="eastAsia" w:ascii="黑体" w:hAnsi="黑体" w:eastAsia="黑体" w:cs="黑体"/>
          <w:color w:val="auto"/>
          <w:sz w:val="32"/>
          <w:szCs w:val="32"/>
          <w:lang w:val="en-US" w:eastAsia="zh-CN"/>
        </w:rPr>
        <w:t>（征求意见稿）</w:t>
      </w:r>
    </w:p>
    <w:p w14:paraId="0FF1FD52">
      <w:pPr>
        <w:pStyle w:val="5"/>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79" w:lineRule="exact"/>
        <w:ind w:right="0"/>
        <w:textAlignment w:val="auto"/>
        <w:rPr>
          <w:rFonts w:hint="default" w:ascii="Times New Roman" w:hAnsi="Times New Roman" w:eastAsia="黑体" w:cs="Times New Roman"/>
          <w:color w:val="auto"/>
          <w:kern w:val="2"/>
          <w:sz w:val="32"/>
          <w:szCs w:val="32"/>
          <w:lang w:val="en-US" w:eastAsia="zh-CN" w:bidi="ar-SA"/>
        </w:rPr>
      </w:pPr>
    </w:p>
    <w:p w14:paraId="05DA5612">
      <w:pPr>
        <w:widowControl w:val="0"/>
        <w:wordWrap/>
        <w:adjustRightInd/>
        <w:snapToGrid/>
        <w:spacing w:line="560" w:lineRule="exact"/>
        <w:jc w:val="left"/>
        <w:textAlignment w:val="auto"/>
        <w:rPr>
          <w:rFonts w:hint="default" w:ascii="仿宋_GB2312" w:hAnsi="方正小标宋简体" w:eastAsia="仿宋_GB2312"/>
          <w:sz w:val="32"/>
          <w:szCs w:val="32"/>
          <w:lang w:val="en-US" w:eastAsia="zh-CN"/>
        </w:rPr>
      </w:pPr>
      <w:r>
        <w:rPr>
          <w:rFonts w:hint="eastAsia" w:ascii="仿宋_GB2312" w:hAnsi="方正小标宋简体" w:eastAsia="仿宋_GB2312"/>
          <w:sz w:val="32"/>
          <w:szCs w:val="32"/>
          <w:lang w:val="en-US" w:eastAsia="zh-CN"/>
        </w:rPr>
        <w:t>各科室、各管理部：</w:t>
      </w:r>
    </w:p>
    <w:p w14:paraId="13ED359B">
      <w:pPr>
        <w:widowControl w:val="0"/>
        <w:wordWrap/>
        <w:adjustRightInd/>
        <w:snapToGrid/>
        <w:spacing w:line="560" w:lineRule="exact"/>
        <w:ind w:firstLine="640" w:firstLineChars="200"/>
        <w:jc w:val="left"/>
        <w:textAlignment w:val="auto"/>
        <w:rPr>
          <w:rFonts w:hint="default" w:ascii="仿宋_GB2312" w:hAnsi="方正小标宋简体" w:eastAsia="仿宋_GB2312"/>
          <w:sz w:val="32"/>
          <w:szCs w:val="32"/>
          <w:lang w:val="en-US" w:eastAsia="zh-CN"/>
        </w:rPr>
      </w:pPr>
      <w:r>
        <w:rPr>
          <w:rFonts w:hint="eastAsia" w:ascii="仿宋_GB2312" w:hAnsi="方正小标宋简体" w:eastAsia="仿宋_GB2312"/>
          <w:sz w:val="32"/>
          <w:szCs w:val="32"/>
          <w:lang w:val="en-US" w:eastAsia="zh-CN"/>
        </w:rPr>
        <w:t>根据《中华人民共和国行政处罚法》《住房公积金管理条例》《湖南省行政程序规定》《湖南省规范行政裁量权办法》等有关法律、法规、规章和规范性文件的规定，结合我中心实际，制定</w:t>
      </w:r>
      <w:r>
        <w:rPr>
          <w:rFonts w:hint="eastAsia" w:ascii="Times New Roman" w:hAnsi="Times New Roman" w:eastAsia="仿宋_GB2312" w:cs="Times New Roman"/>
          <w:sz w:val="32"/>
          <w:szCs w:val="32"/>
          <w:lang w:val="en-US" w:eastAsia="zh-CN"/>
        </w:rPr>
        <w:t>《邵阳市住房公积金行政处罚裁量权基准（暂行）》《邵阳市住房公积金管理中心行政执法事项目录》《邵阳市住房公积金管理中心免于行政处罚事项清单》</w:t>
      </w:r>
      <w:r>
        <w:rPr>
          <w:rFonts w:hint="eastAsia" w:ascii="仿宋_GB2312" w:hAnsi="方正小标宋简体" w:eastAsia="仿宋_GB2312"/>
          <w:sz w:val="32"/>
          <w:szCs w:val="32"/>
          <w:lang w:val="en-US" w:eastAsia="zh-CN"/>
        </w:rPr>
        <w:t>，现印发给你们，请遵照执行。</w:t>
      </w:r>
    </w:p>
    <w:p w14:paraId="0BF193EB">
      <w:pPr>
        <w:widowControl w:val="0"/>
        <w:wordWrap/>
        <w:adjustRightInd/>
        <w:snapToGrid/>
        <w:spacing w:line="560" w:lineRule="exact"/>
        <w:ind w:firstLine="640" w:firstLineChars="200"/>
        <w:jc w:val="left"/>
        <w:textAlignment w:val="auto"/>
        <w:rPr>
          <w:rFonts w:hint="default" w:ascii="仿宋_GB2312" w:hAnsi="方正小标宋简体" w:eastAsia="仿宋_GB2312"/>
          <w:sz w:val="32"/>
          <w:szCs w:val="32"/>
          <w:lang w:val="en-US" w:eastAsia="zh-CN"/>
        </w:rPr>
      </w:pPr>
      <w:r>
        <w:rPr>
          <w:rFonts w:hint="eastAsia" w:ascii="仿宋_GB2312" w:hAnsi="方正小标宋简体" w:eastAsia="仿宋_GB2312"/>
          <w:sz w:val="32"/>
          <w:szCs w:val="32"/>
          <w:lang w:val="en-US" w:eastAsia="zh-CN"/>
        </w:rPr>
        <w:t xml:space="preserve"> </w:t>
      </w:r>
    </w:p>
    <w:p w14:paraId="72DD1F7E">
      <w:pPr>
        <w:widowControl w:val="0"/>
        <w:wordWrap/>
        <w:adjustRightInd/>
        <w:snapToGrid/>
        <w:spacing w:line="560" w:lineRule="exact"/>
        <w:ind w:firstLine="640" w:firstLineChars="200"/>
        <w:jc w:val="left"/>
        <w:textAlignment w:val="auto"/>
        <w:rPr>
          <w:rFonts w:hint="default" w:ascii="仿宋_GB2312" w:hAnsi="方正小标宋简体" w:eastAsia="仿宋_GB2312"/>
          <w:sz w:val="32"/>
          <w:szCs w:val="32"/>
          <w:lang w:val="en-US" w:eastAsia="zh-CN"/>
        </w:rPr>
      </w:pPr>
      <w:r>
        <w:rPr>
          <w:rFonts w:hint="default" w:ascii="仿宋_GB2312" w:hAnsi="方正小标宋简体" w:eastAsia="仿宋_GB2312"/>
          <w:sz w:val="32"/>
          <w:szCs w:val="32"/>
          <w:lang w:val="en-US" w:eastAsia="zh-CN"/>
        </w:rPr>
        <w:t> </w:t>
      </w:r>
    </w:p>
    <w:p w14:paraId="43B89B76">
      <w:pPr>
        <w:widowControl w:val="0"/>
        <w:wordWrap/>
        <w:adjustRightInd/>
        <w:snapToGrid/>
        <w:spacing w:line="560" w:lineRule="exact"/>
        <w:ind w:firstLine="640" w:firstLineChars="200"/>
        <w:jc w:val="left"/>
        <w:textAlignment w:val="auto"/>
        <w:rPr>
          <w:rFonts w:hint="default" w:ascii="仿宋_GB2312" w:hAnsi="方正小标宋简体" w:eastAsia="仿宋_GB2312"/>
          <w:sz w:val="32"/>
          <w:szCs w:val="32"/>
          <w:lang w:val="en-US" w:eastAsia="zh-CN"/>
        </w:rPr>
      </w:pPr>
      <w:r>
        <w:rPr>
          <w:rFonts w:hint="eastAsia" w:ascii="仿宋_GB2312" w:hAnsi="方正小标宋简体" w:eastAsia="仿宋_GB2312"/>
          <w:sz w:val="32"/>
          <w:szCs w:val="32"/>
          <w:lang w:val="en-US" w:eastAsia="zh-CN"/>
        </w:rPr>
        <w:t>                                 </w:t>
      </w:r>
    </w:p>
    <w:p w14:paraId="5D8CBEFD">
      <w:pPr>
        <w:widowControl w:val="0"/>
        <w:wordWrap/>
        <w:adjustRightInd/>
        <w:snapToGrid/>
        <w:spacing w:line="560" w:lineRule="exact"/>
        <w:ind w:firstLine="3520" w:firstLineChars="1100"/>
        <w:jc w:val="left"/>
        <w:textAlignment w:val="auto"/>
        <w:rPr>
          <w:rFonts w:hint="default" w:ascii="仿宋_GB2312" w:hAnsi="方正小标宋简体" w:eastAsia="仿宋_GB2312"/>
          <w:sz w:val="32"/>
          <w:szCs w:val="32"/>
          <w:lang w:val="en-US" w:eastAsia="zh-CN"/>
        </w:rPr>
      </w:pPr>
      <w:r>
        <w:rPr>
          <w:rFonts w:hint="eastAsia" w:ascii="仿宋_GB2312" w:hAnsi="方正小标宋简体" w:eastAsia="仿宋_GB2312"/>
          <w:sz w:val="32"/>
          <w:szCs w:val="32"/>
          <w:lang w:val="en-US" w:eastAsia="zh-CN"/>
        </w:rPr>
        <w:t>邵阳市住房公积金管理中心</w:t>
      </w:r>
    </w:p>
    <w:p w14:paraId="384825D4">
      <w:pPr>
        <w:widowControl w:val="0"/>
        <w:wordWrap/>
        <w:adjustRightInd/>
        <w:snapToGrid/>
        <w:spacing w:line="560" w:lineRule="exact"/>
        <w:ind w:firstLine="640" w:firstLineChars="200"/>
        <w:jc w:val="left"/>
        <w:textAlignment w:val="auto"/>
        <w:rPr>
          <w:rFonts w:hint="default"/>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方正小标宋简体" w:eastAsia="仿宋_GB2312"/>
          <w:sz w:val="32"/>
          <w:szCs w:val="32"/>
          <w:lang w:val="en-US" w:eastAsia="zh-CN"/>
        </w:rPr>
        <w:t xml:space="preserve">                       </w:t>
      </w:r>
      <w:r>
        <w:rPr>
          <w:rFonts w:hint="default" w:ascii="仿宋_GB2312" w:hAnsi="方正小标宋简体" w:eastAsia="仿宋_GB2312"/>
          <w:sz w:val="32"/>
          <w:szCs w:val="32"/>
          <w:lang w:val="en-US" w:eastAsia="zh-CN"/>
        </w:rPr>
        <w:t>202</w:t>
      </w:r>
      <w:r>
        <w:rPr>
          <w:rFonts w:hint="eastAsia" w:ascii="仿宋_GB2312" w:hAnsi="方正小标宋简体" w:eastAsia="仿宋_GB2312"/>
          <w:sz w:val="32"/>
          <w:szCs w:val="32"/>
          <w:lang w:val="en-US" w:eastAsia="zh-CN"/>
        </w:rPr>
        <w:t>5年3月25日</w:t>
      </w:r>
    </w:p>
    <w:p w14:paraId="6B85051B">
      <w:pPr>
        <w:widowControl w:val="0"/>
        <w:wordWrap/>
        <w:adjustRightInd/>
        <w:snapToGrid/>
        <w:spacing w:line="560" w:lineRule="exact"/>
        <w:jc w:val="center"/>
        <w:textAlignment w:val="auto"/>
        <w:rPr>
          <w:rFonts w:hint="eastAsia" w:ascii="方正大标宋简体" w:hAnsi="Times New Roman" w:eastAsia="方正大标宋简体" w:cs="Times New Roman"/>
          <w:sz w:val="44"/>
          <w:szCs w:val="44"/>
          <w:lang w:val="en-US" w:eastAsia="zh-CN"/>
        </w:rPr>
      </w:pPr>
      <w:r>
        <w:rPr>
          <w:rFonts w:hint="eastAsia" w:ascii="方正大标宋简体" w:hAnsi="Times New Roman" w:eastAsia="方正大标宋简体" w:cs="Times New Roman"/>
          <w:sz w:val="44"/>
          <w:szCs w:val="44"/>
          <w:lang w:val="en-US" w:eastAsia="zh-CN"/>
        </w:rPr>
        <w:t>邵阳市住房公积金行政处罚裁量权基准（暂行）</w:t>
      </w:r>
    </w:p>
    <w:p w14:paraId="0972F9F2">
      <w:pPr>
        <w:widowControl w:val="0"/>
        <w:wordWrap/>
        <w:adjustRightInd/>
        <w:snapToGrid/>
        <w:spacing w:line="560" w:lineRule="exact"/>
        <w:jc w:val="center"/>
        <w:textAlignment w:val="auto"/>
        <w:rPr>
          <w:rFonts w:hint="eastAsia" w:ascii="方正大标宋简体" w:hAnsi="Times New Roman" w:eastAsia="方正大标宋简体" w:cs="Times New Roman"/>
          <w:sz w:val="44"/>
          <w:szCs w:val="44"/>
          <w:lang w:val="en-US" w:eastAsia="zh-CN"/>
        </w:rPr>
      </w:pPr>
    </w:p>
    <w:tbl>
      <w:tblPr>
        <w:tblStyle w:val="3"/>
        <w:tblW w:w="495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1340"/>
        <w:gridCol w:w="4778"/>
        <w:gridCol w:w="3604"/>
        <w:gridCol w:w="1191"/>
        <w:gridCol w:w="2414"/>
      </w:tblGrid>
      <w:tr w14:paraId="0A648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 w:type="pct"/>
          </w:tcPr>
          <w:p w14:paraId="6BFF3315">
            <w:pPr>
              <w:jc w:val="center"/>
              <w:rPr>
                <w:rFonts w:hint="default" w:ascii="黑体" w:hAnsi="宋体" w:eastAsia="黑体" w:cs="黑体"/>
                <w:i w:val="0"/>
                <w:iCs w:val="0"/>
                <w:caps w:val="0"/>
                <w:color w:val="000000"/>
                <w:spacing w:val="0"/>
                <w:kern w:val="0"/>
                <w:sz w:val="24"/>
                <w:szCs w:val="24"/>
                <w:lang w:val="en-US" w:eastAsia="zh-CN" w:bidi="ar"/>
              </w:rPr>
            </w:pPr>
            <w:r>
              <w:rPr>
                <w:rFonts w:hint="eastAsia" w:ascii="黑体" w:hAnsi="宋体" w:eastAsia="黑体" w:cs="黑体"/>
                <w:i w:val="0"/>
                <w:iCs w:val="0"/>
                <w:caps w:val="0"/>
                <w:color w:val="000000"/>
                <w:spacing w:val="0"/>
                <w:kern w:val="0"/>
                <w:sz w:val="24"/>
                <w:szCs w:val="24"/>
                <w:lang w:val="en-US" w:eastAsia="zh-CN" w:bidi="ar"/>
              </w:rPr>
              <w:t>序号</w:t>
            </w:r>
          </w:p>
        </w:tc>
        <w:tc>
          <w:tcPr>
            <w:tcW w:w="477" w:type="pct"/>
            <w:shd w:val="clear" w:color="auto" w:fill="auto"/>
            <w:vAlign w:val="top"/>
          </w:tcPr>
          <w:p w14:paraId="71CBF7D9">
            <w:pPr>
              <w:jc w:val="center"/>
              <w:rPr>
                <w:rFonts w:hint="eastAsia" w:ascii="黑体" w:hAnsi="宋体" w:eastAsia="黑体" w:cs="黑体"/>
                <w:i w:val="0"/>
                <w:iCs w:val="0"/>
                <w:caps w:val="0"/>
                <w:color w:val="000000"/>
                <w:spacing w:val="0"/>
                <w:kern w:val="0"/>
                <w:sz w:val="24"/>
                <w:szCs w:val="24"/>
                <w:lang w:val="en-US" w:eastAsia="zh-CN" w:bidi="ar"/>
              </w:rPr>
            </w:pPr>
            <w:r>
              <w:rPr>
                <w:rFonts w:hint="eastAsia" w:ascii="黑体" w:hAnsi="宋体" w:eastAsia="黑体" w:cs="黑体"/>
                <w:i w:val="0"/>
                <w:iCs w:val="0"/>
                <w:caps w:val="0"/>
                <w:color w:val="000000"/>
                <w:spacing w:val="0"/>
                <w:kern w:val="0"/>
                <w:sz w:val="24"/>
                <w:szCs w:val="24"/>
                <w:lang w:val="en-US" w:eastAsia="zh-CN" w:bidi="ar"/>
              </w:rPr>
              <w:t>违法行为</w:t>
            </w:r>
          </w:p>
        </w:tc>
        <w:tc>
          <w:tcPr>
            <w:tcW w:w="1701" w:type="pct"/>
          </w:tcPr>
          <w:p w14:paraId="316997E7">
            <w:pPr>
              <w:jc w:val="center"/>
              <w:rPr>
                <w:rFonts w:hint="default" w:ascii="黑体" w:hAnsi="宋体" w:eastAsia="黑体" w:cs="黑体"/>
                <w:i w:val="0"/>
                <w:iCs w:val="0"/>
                <w:caps w:val="0"/>
                <w:color w:val="000000"/>
                <w:spacing w:val="0"/>
                <w:kern w:val="0"/>
                <w:sz w:val="24"/>
                <w:szCs w:val="24"/>
                <w:lang w:val="en-US" w:eastAsia="zh-CN" w:bidi="ar"/>
              </w:rPr>
            </w:pPr>
            <w:r>
              <w:rPr>
                <w:rFonts w:hint="eastAsia" w:ascii="黑体" w:hAnsi="宋体" w:eastAsia="黑体" w:cs="黑体"/>
                <w:i w:val="0"/>
                <w:iCs w:val="0"/>
                <w:caps w:val="0"/>
                <w:color w:val="000000"/>
                <w:spacing w:val="0"/>
                <w:kern w:val="0"/>
                <w:sz w:val="24"/>
                <w:szCs w:val="24"/>
                <w:lang w:val="en-US" w:eastAsia="zh-CN" w:bidi="ar"/>
              </w:rPr>
              <w:t>法律依据</w:t>
            </w:r>
          </w:p>
        </w:tc>
        <w:tc>
          <w:tcPr>
            <w:tcW w:w="1283" w:type="pct"/>
          </w:tcPr>
          <w:p w14:paraId="571DAA0E">
            <w:pPr>
              <w:jc w:val="center"/>
              <w:rPr>
                <w:rFonts w:hint="default" w:ascii="黑体" w:hAnsi="宋体" w:eastAsia="黑体" w:cs="黑体"/>
                <w:i w:val="0"/>
                <w:iCs w:val="0"/>
                <w:caps w:val="0"/>
                <w:color w:val="000000"/>
                <w:spacing w:val="0"/>
                <w:kern w:val="0"/>
                <w:sz w:val="24"/>
                <w:szCs w:val="24"/>
                <w:lang w:val="en-US" w:eastAsia="zh-CN" w:bidi="ar"/>
              </w:rPr>
            </w:pPr>
            <w:r>
              <w:rPr>
                <w:rFonts w:hint="eastAsia" w:ascii="黑体" w:hAnsi="宋体" w:eastAsia="黑体" w:cs="黑体"/>
                <w:i w:val="0"/>
                <w:iCs w:val="0"/>
                <w:caps w:val="0"/>
                <w:color w:val="000000"/>
                <w:spacing w:val="0"/>
                <w:kern w:val="0"/>
                <w:sz w:val="24"/>
                <w:szCs w:val="24"/>
                <w:lang w:val="en-US" w:eastAsia="zh-CN" w:bidi="ar"/>
              </w:rPr>
              <w:t>适用条件</w:t>
            </w:r>
          </w:p>
        </w:tc>
        <w:tc>
          <w:tcPr>
            <w:tcW w:w="424" w:type="pct"/>
          </w:tcPr>
          <w:p w14:paraId="3EA6B86D">
            <w:pPr>
              <w:jc w:val="center"/>
              <w:rPr>
                <w:rFonts w:hint="default" w:ascii="黑体" w:hAnsi="宋体" w:eastAsia="黑体" w:cs="黑体"/>
                <w:i w:val="0"/>
                <w:iCs w:val="0"/>
                <w:caps w:val="0"/>
                <w:color w:val="000000"/>
                <w:spacing w:val="0"/>
                <w:kern w:val="0"/>
                <w:sz w:val="24"/>
                <w:szCs w:val="24"/>
                <w:lang w:val="en-US" w:eastAsia="zh-CN" w:bidi="ar"/>
              </w:rPr>
            </w:pPr>
            <w:r>
              <w:rPr>
                <w:rFonts w:hint="eastAsia" w:ascii="黑体" w:hAnsi="宋体" w:eastAsia="黑体" w:cs="黑体"/>
                <w:i w:val="0"/>
                <w:iCs w:val="0"/>
                <w:caps w:val="0"/>
                <w:color w:val="000000"/>
                <w:spacing w:val="0"/>
                <w:kern w:val="0"/>
                <w:sz w:val="24"/>
                <w:szCs w:val="24"/>
                <w:lang w:val="en-US" w:eastAsia="zh-CN" w:bidi="ar"/>
              </w:rPr>
              <w:t>裁量阶次</w:t>
            </w:r>
          </w:p>
        </w:tc>
        <w:tc>
          <w:tcPr>
            <w:tcW w:w="859" w:type="pct"/>
          </w:tcPr>
          <w:p w14:paraId="13AB045C">
            <w:pPr>
              <w:jc w:val="center"/>
              <w:rPr>
                <w:rFonts w:hint="default" w:ascii="黑体" w:hAnsi="宋体" w:eastAsia="黑体" w:cs="黑体"/>
                <w:i w:val="0"/>
                <w:iCs w:val="0"/>
                <w:caps w:val="0"/>
                <w:color w:val="000000"/>
                <w:spacing w:val="0"/>
                <w:kern w:val="0"/>
                <w:sz w:val="24"/>
                <w:szCs w:val="24"/>
                <w:lang w:val="en-US" w:eastAsia="zh-CN" w:bidi="ar"/>
              </w:rPr>
            </w:pPr>
            <w:r>
              <w:rPr>
                <w:rFonts w:hint="eastAsia" w:ascii="黑体" w:hAnsi="宋体" w:eastAsia="黑体" w:cs="黑体"/>
                <w:i w:val="0"/>
                <w:iCs w:val="0"/>
                <w:caps w:val="0"/>
                <w:color w:val="000000"/>
                <w:spacing w:val="0"/>
                <w:kern w:val="0"/>
                <w:sz w:val="24"/>
                <w:szCs w:val="24"/>
                <w:lang w:val="en-US" w:eastAsia="zh-CN" w:bidi="ar"/>
              </w:rPr>
              <w:t>处罚标准</w:t>
            </w:r>
          </w:p>
        </w:tc>
      </w:tr>
      <w:tr w14:paraId="13E1B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6" w:hRule="atLeast"/>
        </w:trPr>
        <w:tc>
          <w:tcPr>
            <w:tcW w:w="253" w:type="pct"/>
            <w:vMerge w:val="restart"/>
          </w:tcPr>
          <w:p w14:paraId="702D7C4A">
            <w:pPr>
              <w:jc w:val="center"/>
              <w:rPr>
                <w:rFonts w:hint="eastAsia"/>
                <w:vertAlign w:val="baseline"/>
                <w:lang w:val="en-US" w:eastAsia="zh-CN"/>
              </w:rPr>
            </w:pPr>
          </w:p>
          <w:p w14:paraId="19EF4903">
            <w:pPr>
              <w:jc w:val="both"/>
              <w:rPr>
                <w:rFonts w:hint="eastAsia"/>
                <w:vertAlign w:val="baseline"/>
                <w:lang w:val="en-US" w:eastAsia="zh-CN"/>
              </w:rPr>
            </w:pPr>
          </w:p>
          <w:p w14:paraId="01D6BF72">
            <w:pPr>
              <w:jc w:val="center"/>
              <w:rPr>
                <w:rFonts w:hint="eastAsia"/>
                <w:vertAlign w:val="baseline"/>
                <w:lang w:val="en-US" w:eastAsia="zh-CN"/>
              </w:rPr>
            </w:pPr>
          </w:p>
          <w:p w14:paraId="38D3FE46">
            <w:pPr>
              <w:jc w:val="center"/>
              <w:rPr>
                <w:rFonts w:hint="eastAsia"/>
                <w:vertAlign w:val="baseline"/>
                <w:lang w:val="en-US" w:eastAsia="zh-CN"/>
              </w:rPr>
            </w:pPr>
          </w:p>
          <w:p w14:paraId="2FBA9308">
            <w:pPr>
              <w:jc w:val="center"/>
              <w:rPr>
                <w:rFonts w:hint="eastAsia"/>
                <w:vertAlign w:val="baseline"/>
                <w:lang w:val="en-US" w:eastAsia="zh-CN"/>
              </w:rPr>
            </w:pPr>
          </w:p>
          <w:p w14:paraId="3D893B7E">
            <w:pPr>
              <w:jc w:val="center"/>
              <w:rPr>
                <w:rFonts w:hint="eastAsia"/>
                <w:vertAlign w:val="baseline"/>
                <w:lang w:val="en-US" w:eastAsia="zh-CN"/>
              </w:rPr>
            </w:pPr>
          </w:p>
          <w:p w14:paraId="6C81E787">
            <w:pPr>
              <w:jc w:val="center"/>
              <w:rPr>
                <w:rFonts w:hint="eastAsia"/>
                <w:vertAlign w:val="baseline"/>
                <w:lang w:val="en-US" w:eastAsia="zh-CN"/>
              </w:rPr>
            </w:pPr>
          </w:p>
          <w:p w14:paraId="75033AEE">
            <w:pPr>
              <w:jc w:val="center"/>
              <w:rPr>
                <w:rFonts w:hint="eastAsia"/>
                <w:vertAlign w:val="baseline"/>
                <w:lang w:val="en-US" w:eastAsia="zh-CN"/>
              </w:rPr>
            </w:pPr>
          </w:p>
          <w:p w14:paraId="2339BE81">
            <w:pPr>
              <w:jc w:val="center"/>
              <w:rPr>
                <w:rFonts w:hint="eastAsia"/>
                <w:vertAlign w:val="baseline"/>
                <w:lang w:val="en-US" w:eastAsia="zh-CN"/>
              </w:rPr>
            </w:pPr>
          </w:p>
          <w:p w14:paraId="79E2ED8E">
            <w:pPr>
              <w:jc w:val="center"/>
              <w:rPr>
                <w:rFonts w:hint="eastAsia"/>
                <w:vertAlign w:val="baseline"/>
                <w:lang w:val="en-US" w:eastAsia="zh-CN"/>
              </w:rPr>
            </w:pPr>
          </w:p>
          <w:p w14:paraId="7C7B882C">
            <w:pPr>
              <w:jc w:val="center"/>
              <w:rPr>
                <w:rFonts w:hint="default"/>
                <w:vertAlign w:val="baseline"/>
                <w:lang w:val="en-US" w:eastAsia="zh-CN"/>
              </w:rPr>
            </w:pPr>
            <w:r>
              <w:rPr>
                <w:rFonts w:hint="eastAsia"/>
                <w:vertAlign w:val="baseline"/>
                <w:lang w:val="en-US" w:eastAsia="zh-CN"/>
              </w:rPr>
              <w:t>1</w:t>
            </w:r>
          </w:p>
        </w:tc>
        <w:tc>
          <w:tcPr>
            <w:tcW w:w="477" w:type="pct"/>
            <w:shd w:val="clear" w:color="auto" w:fill="auto"/>
            <w:vAlign w:val="top"/>
          </w:tcPr>
          <w:p w14:paraId="381A2AA5">
            <w:pPr>
              <w:rPr>
                <w:rFonts w:hint="eastAsia"/>
              </w:rPr>
            </w:pPr>
          </w:p>
          <w:p w14:paraId="6CEA7FCF">
            <w:pPr>
              <w:rPr>
                <w:rFonts w:hint="eastAsia"/>
              </w:rPr>
            </w:pPr>
          </w:p>
          <w:p w14:paraId="14260E66">
            <w:pPr>
              <w:rPr>
                <w:rFonts w:hint="eastAsia"/>
              </w:rPr>
            </w:pPr>
          </w:p>
          <w:p w14:paraId="601CF07D">
            <w:pPr>
              <w:rPr>
                <w:rFonts w:hint="eastAsia" w:asciiTheme="minorHAnsi" w:hAnsiTheme="minorHAnsi" w:eastAsiaTheme="minorEastAsia" w:cstheme="minorBidi"/>
                <w:kern w:val="2"/>
                <w:sz w:val="21"/>
                <w:szCs w:val="24"/>
                <w:vertAlign w:val="baseline"/>
                <w:lang w:val="en-US" w:eastAsia="zh-CN" w:bidi="ar-SA"/>
              </w:rPr>
            </w:pPr>
            <w:r>
              <w:rPr>
                <w:rFonts w:hint="eastAsia"/>
              </w:rPr>
              <w:t>单位不办理住房公积金缴存登记</w:t>
            </w:r>
          </w:p>
        </w:tc>
        <w:tc>
          <w:tcPr>
            <w:tcW w:w="1701" w:type="pct"/>
            <w:vMerge w:val="restart"/>
          </w:tcPr>
          <w:p w14:paraId="5638060F">
            <w:pPr>
              <w:ind w:firstLine="420" w:firstLineChars="200"/>
              <w:rPr>
                <w:rFonts w:hint="eastAsia"/>
                <w:lang w:val="en-US" w:eastAsia="zh-CN"/>
              </w:rPr>
            </w:pPr>
          </w:p>
          <w:p w14:paraId="372D1C6F">
            <w:pPr>
              <w:ind w:firstLine="420" w:firstLineChars="200"/>
              <w:rPr>
                <w:rFonts w:hint="eastAsia"/>
                <w:lang w:val="en-US" w:eastAsia="zh-CN"/>
              </w:rPr>
            </w:pPr>
          </w:p>
          <w:p w14:paraId="369CD4B8">
            <w:pPr>
              <w:ind w:firstLine="420" w:firstLineChars="200"/>
              <w:rPr>
                <w:rFonts w:hint="eastAsia"/>
                <w:lang w:val="en-US" w:eastAsia="zh-CN"/>
              </w:rPr>
            </w:pPr>
          </w:p>
          <w:p w14:paraId="01938D47">
            <w:pPr>
              <w:ind w:firstLine="420" w:firstLineChars="200"/>
              <w:rPr>
                <w:rFonts w:hint="eastAsia"/>
                <w:lang w:val="en-US" w:eastAsia="zh-CN"/>
              </w:rPr>
            </w:pPr>
          </w:p>
          <w:p w14:paraId="0C445B4B">
            <w:pPr>
              <w:ind w:firstLine="420" w:firstLineChars="200"/>
              <w:rPr>
                <w:rFonts w:hint="eastAsia"/>
                <w:lang w:val="en-US" w:eastAsia="zh-CN"/>
              </w:rPr>
            </w:pPr>
          </w:p>
          <w:p w14:paraId="03C1537D">
            <w:pPr>
              <w:ind w:firstLine="420" w:firstLineChars="200"/>
              <w:rPr>
                <w:rFonts w:hint="eastAsia"/>
                <w:lang w:val="en-US" w:eastAsia="zh-CN"/>
              </w:rPr>
            </w:pPr>
          </w:p>
          <w:p w14:paraId="176E3D23">
            <w:pPr>
              <w:ind w:firstLine="420" w:firstLineChars="200"/>
              <w:rPr>
                <w:rFonts w:hint="default"/>
                <w:vertAlign w:val="baseline"/>
                <w:lang w:val="en-US" w:eastAsia="zh-CN"/>
              </w:rPr>
            </w:pPr>
            <w:r>
              <w:rPr>
                <w:rFonts w:hint="eastAsia"/>
                <w:lang w:val="en-US" w:eastAsia="zh-CN"/>
              </w:rPr>
              <w:t>《中华人民共和国行政处罚法》</w:t>
            </w:r>
            <w:r>
              <w:rPr>
                <w:rFonts w:hint="default"/>
                <w:lang w:val="en-US" w:eastAsia="zh-CN"/>
              </w:rPr>
              <w:t>​</w:t>
            </w:r>
            <w:r>
              <w:rPr>
                <w:rFonts w:hint="eastAsia"/>
                <w:lang w:val="en-US" w:eastAsia="zh-CN"/>
              </w:rPr>
              <w:t>第32条：当事人有下列情形之一，应当从轻或者减轻行政处罚：（一）主动消除或者减轻违法行为危害后果的；</w:t>
            </w:r>
            <w:r>
              <w:rPr>
                <w:rFonts w:hint="eastAsia"/>
                <w:lang w:val="en-US" w:eastAsia="zh-CN"/>
              </w:rPr>
              <w:br w:type="textWrapping"/>
            </w:r>
            <w:r>
              <w:rPr>
                <w:rFonts w:hint="eastAsia"/>
                <w:lang w:val="en-US" w:eastAsia="zh-CN"/>
              </w:rPr>
              <w:t xml:space="preserve">    《住房公积金管理条例》第37条 违反本条例的规定，单位不办理住房公积金缴存登记或者不为本单位职工办理住房公积金账户设立手续的，由住房公积金管理中心责令限期办理；逾期不办理的，处1万元以上5万元以下的罚款。</w:t>
            </w:r>
          </w:p>
        </w:tc>
        <w:tc>
          <w:tcPr>
            <w:tcW w:w="1283" w:type="pct"/>
          </w:tcPr>
          <w:p w14:paraId="78F87A42">
            <w:pPr>
              <w:numPr>
                <w:ilvl w:val="0"/>
                <w:numId w:val="0"/>
              </w:numPr>
              <w:rPr>
                <w:rFonts w:hint="default"/>
                <w:vertAlign w:val="baseline"/>
                <w:lang w:val="en-US" w:eastAsia="zh-CN"/>
              </w:rPr>
            </w:pPr>
          </w:p>
          <w:p w14:paraId="28F93E9A">
            <w:pPr>
              <w:numPr>
                <w:ilvl w:val="0"/>
                <w:numId w:val="0"/>
              </w:numPr>
              <w:rPr>
                <w:rFonts w:hint="default"/>
                <w:vertAlign w:val="baseline"/>
                <w:lang w:val="en-US" w:eastAsia="zh-CN"/>
              </w:rPr>
            </w:pPr>
          </w:p>
          <w:p w14:paraId="344BAD7E">
            <w:pPr>
              <w:numPr>
                <w:ilvl w:val="0"/>
                <w:numId w:val="0"/>
              </w:numPr>
              <w:rPr>
                <w:rFonts w:hint="default"/>
                <w:vertAlign w:val="baseline"/>
                <w:lang w:val="en-US" w:eastAsia="zh-CN"/>
              </w:rPr>
            </w:pPr>
          </w:p>
          <w:p w14:paraId="3F5A7A0E">
            <w:pPr>
              <w:numPr>
                <w:ilvl w:val="0"/>
                <w:numId w:val="1"/>
              </w:numPr>
              <w:rPr>
                <w:rFonts w:hint="default"/>
                <w:vertAlign w:val="baseline"/>
                <w:lang w:val="en-US" w:eastAsia="zh-CN"/>
              </w:rPr>
            </w:pPr>
            <w:r>
              <w:rPr>
                <w:rFonts w:hint="eastAsia"/>
                <w:lang w:val="en-US" w:eastAsia="zh-CN"/>
              </w:rPr>
              <w:t>主动消除或者减轻违法行为后果的。</w:t>
            </w:r>
          </w:p>
          <w:p w14:paraId="443A7DFA">
            <w:pPr>
              <w:numPr>
                <w:ilvl w:val="0"/>
                <w:numId w:val="1"/>
              </w:numPr>
              <w:rPr>
                <w:rFonts w:hint="default"/>
                <w:vertAlign w:val="baseline"/>
                <w:lang w:val="en-US" w:eastAsia="zh-CN"/>
              </w:rPr>
            </w:pPr>
            <w:r>
              <w:rPr>
                <w:rFonts w:hint="eastAsia"/>
                <w:lang w:val="en-US" w:eastAsia="zh-CN"/>
              </w:rPr>
              <w:t>积极配合查处违法行为的。</w:t>
            </w:r>
          </w:p>
        </w:tc>
        <w:tc>
          <w:tcPr>
            <w:tcW w:w="424" w:type="pct"/>
          </w:tcPr>
          <w:p w14:paraId="7C790332">
            <w:pPr>
              <w:rPr>
                <w:rFonts w:hint="eastAsia"/>
                <w:vertAlign w:val="baseline"/>
                <w:lang w:val="en-US" w:eastAsia="zh-CN"/>
              </w:rPr>
            </w:pPr>
          </w:p>
          <w:p w14:paraId="0989F561">
            <w:pPr>
              <w:rPr>
                <w:rFonts w:hint="eastAsia"/>
                <w:vertAlign w:val="baseline"/>
                <w:lang w:val="en-US" w:eastAsia="zh-CN"/>
              </w:rPr>
            </w:pPr>
          </w:p>
          <w:p w14:paraId="39421B05">
            <w:pPr>
              <w:rPr>
                <w:rFonts w:hint="eastAsia"/>
                <w:vertAlign w:val="baseline"/>
                <w:lang w:val="en-US" w:eastAsia="zh-CN"/>
              </w:rPr>
            </w:pPr>
          </w:p>
          <w:p w14:paraId="2D811B7D">
            <w:pPr>
              <w:rPr>
                <w:rFonts w:hint="default"/>
                <w:vertAlign w:val="baseline"/>
                <w:lang w:val="en-US" w:eastAsia="zh-CN"/>
              </w:rPr>
            </w:pPr>
            <w:r>
              <w:rPr>
                <w:rFonts w:hint="eastAsia"/>
                <w:vertAlign w:val="baseline"/>
                <w:lang w:val="en-US" w:eastAsia="zh-CN"/>
              </w:rPr>
              <w:t>从轻或减轻处罚</w:t>
            </w:r>
          </w:p>
        </w:tc>
        <w:tc>
          <w:tcPr>
            <w:tcW w:w="859" w:type="pct"/>
          </w:tcPr>
          <w:p w14:paraId="3F22D1A1">
            <w:pPr>
              <w:rPr>
                <w:rFonts w:hint="eastAsia"/>
                <w:vertAlign w:val="baseline"/>
                <w:lang w:val="en-US" w:eastAsia="zh-CN"/>
              </w:rPr>
            </w:pPr>
          </w:p>
          <w:p w14:paraId="631609A1">
            <w:pPr>
              <w:rPr>
                <w:rFonts w:hint="eastAsia"/>
                <w:vertAlign w:val="baseline"/>
                <w:lang w:val="en-US" w:eastAsia="zh-CN"/>
              </w:rPr>
            </w:pPr>
          </w:p>
          <w:p w14:paraId="3B22AC81">
            <w:pPr>
              <w:rPr>
                <w:rFonts w:hint="eastAsia"/>
                <w:vertAlign w:val="baseline"/>
                <w:lang w:val="en-US" w:eastAsia="zh-CN"/>
              </w:rPr>
            </w:pPr>
          </w:p>
          <w:p w14:paraId="4CCF4A36">
            <w:pPr>
              <w:rPr>
                <w:rFonts w:hint="default"/>
                <w:vertAlign w:val="baseline"/>
                <w:lang w:val="en-US" w:eastAsia="zh-CN"/>
              </w:rPr>
            </w:pPr>
            <w:r>
              <w:rPr>
                <w:rFonts w:hint="eastAsia"/>
                <w:vertAlign w:val="baseline"/>
                <w:lang w:val="en-US" w:eastAsia="zh-CN"/>
              </w:rPr>
              <w:t>因法律没有规定更低的处罚档次，可以适用警告</w:t>
            </w:r>
          </w:p>
        </w:tc>
      </w:tr>
      <w:tr w14:paraId="584D2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0" w:hRule="atLeast"/>
        </w:trPr>
        <w:tc>
          <w:tcPr>
            <w:tcW w:w="253" w:type="pct"/>
            <w:vMerge w:val="continue"/>
          </w:tcPr>
          <w:p w14:paraId="21692865">
            <w:pPr>
              <w:rPr>
                <w:rFonts w:hint="default"/>
                <w:vertAlign w:val="baseline"/>
                <w:lang w:val="en-US" w:eastAsia="zh-CN"/>
              </w:rPr>
            </w:pPr>
          </w:p>
        </w:tc>
        <w:tc>
          <w:tcPr>
            <w:tcW w:w="477" w:type="pct"/>
            <w:shd w:val="clear" w:color="auto" w:fill="auto"/>
            <w:vAlign w:val="top"/>
          </w:tcPr>
          <w:p w14:paraId="598729DA">
            <w:pPr>
              <w:rPr>
                <w:rFonts w:hint="eastAsia"/>
              </w:rPr>
            </w:pPr>
          </w:p>
          <w:p w14:paraId="2EAB5B2A">
            <w:pPr>
              <w:rPr>
                <w:rFonts w:hint="eastAsia"/>
              </w:rPr>
            </w:pPr>
          </w:p>
          <w:p w14:paraId="145F2631">
            <w:pPr>
              <w:rPr>
                <w:rFonts w:hint="eastAsia"/>
              </w:rPr>
            </w:pPr>
          </w:p>
          <w:p w14:paraId="3637A22D">
            <w:pPr>
              <w:rPr>
                <w:rFonts w:hint="default" w:asciiTheme="minorHAnsi" w:hAnsiTheme="minorHAnsi" w:eastAsiaTheme="minorEastAsia" w:cstheme="minorBidi"/>
                <w:kern w:val="2"/>
                <w:sz w:val="21"/>
                <w:szCs w:val="24"/>
                <w:vertAlign w:val="baseline"/>
                <w:lang w:val="en-US" w:eastAsia="zh-CN" w:bidi="ar-SA"/>
              </w:rPr>
            </w:pPr>
            <w:r>
              <w:rPr>
                <w:rFonts w:hint="eastAsia"/>
              </w:rPr>
              <w:t>不为本单位职工办理住房公积金账户设立手续</w:t>
            </w:r>
          </w:p>
        </w:tc>
        <w:tc>
          <w:tcPr>
            <w:tcW w:w="1701" w:type="pct"/>
            <w:vMerge w:val="continue"/>
          </w:tcPr>
          <w:p w14:paraId="57A2EC3A">
            <w:pPr>
              <w:rPr>
                <w:rFonts w:hint="default"/>
                <w:vertAlign w:val="baseline"/>
                <w:lang w:val="en-US" w:eastAsia="zh-CN"/>
              </w:rPr>
            </w:pPr>
          </w:p>
        </w:tc>
        <w:tc>
          <w:tcPr>
            <w:tcW w:w="1283" w:type="pct"/>
          </w:tcPr>
          <w:p w14:paraId="07EFD242">
            <w:pPr>
              <w:numPr>
                <w:ilvl w:val="0"/>
                <w:numId w:val="0"/>
              </w:numPr>
              <w:rPr>
                <w:rFonts w:hint="default"/>
                <w:vertAlign w:val="baseline"/>
                <w:lang w:val="en-US" w:eastAsia="zh-CN"/>
              </w:rPr>
            </w:pPr>
          </w:p>
          <w:p w14:paraId="380FD1A2">
            <w:pPr>
              <w:numPr>
                <w:ilvl w:val="0"/>
                <w:numId w:val="0"/>
              </w:numPr>
              <w:rPr>
                <w:rFonts w:hint="default"/>
                <w:vertAlign w:val="baseline"/>
                <w:lang w:val="en-US" w:eastAsia="zh-CN"/>
              </w:rPr>
            </w:pPr>
          </w:p>
          <w:p w14:paraId="32E7F5EA">
            <w:pPr>
              <w:numPr>
                <w:ilvl w:val="0"/>
                <w:numId w:val="0"/>
              </w:numPr>
              <w:rPr>
                <w:rFonts w:hint="default"/>
                <w:vertAlign w:val="baseline"/>
                <w:lang w:val="en-US" w:eastAsia="zh-CN"/>
              </w:rPr>
            </w:pPr>
          </w:p>
          <w:p w14:paraId="77E1E561">
            <w:pPr>
              <w:numPr>
                <w:ilvl w:val="0"/>
                <w:numId w:val="2"/>
              </w:numPr>
              <w:rPr>
                <w:rFonts w:hint="default"/>
                <w:vertAlign w:val="baseline"/>
                <w:lang w:val="en-US" w:eastAsia="zh-CN"/>
              </w:rPr>
            </w:pPr>
            <w:r>
              <w:rPr>
                <w:rFonts w:hint="eastAsia"/>
                <w:lang w:val="en-US" w:eastAsia="zh-CN"/>
              </w:rPr>
              <w:t>主动消除或者减轻违法行为后果的。</w:t>
            </w:r>
          </w:p>
          <w:p w14:paraId="77933E7C">
            <w:pPr>
              <w:numPr>
                <w:ilvl w:val="0"/>
                <w:numId w:val="2"/>
              </w:numPr>
              <w:ind w:left="0" w:leftChars="0" w:firstLine="0" w:firstLineChars="0"/>
              <w:rPr>
                <w:rFonts w:hint="default"/>
                <w:vertAlign w:val="baseline"/>
                <w:lang w:val="en-US" w:eastAsia="zh-CN"/>
              </w:rPr>
            </w:pPr>
            <w:r>
              <w:rPr>
                <w:rFonts w:hint="eastAsia"/>
                <w:lang w:val="en-US" w:eastAsia="zh-CN"/>
              </w:rPr>
              <w:t>积极配合查处违法行为的。</w:t>
            </w:r>
          </w:p>
        </w:tc>
        <w:tc>
          <w:tcPr>
            <w:tcW w:w="424" w:type="pct"/>
          </w:tcPr>
          <w:p w14:paraId="68F75159">
            <w:pPr>
              <w:rPr>
                <w:rFonts w:hint="eastAsia"/>
                <w:vertAlign w:val="baseline"/>
                <w:lang w:val="en-US" w:eastAsia="zh-CN"/>
              </w:rPr>
            </w:pPr>
          </w:p>
          <w:p w14:paraId="30CE1E3A">
            <w:pPr>
              <w:rPr>
                <w:rFonts w:hint="eastAsia"/>
                <w:vertAlign w:val="baseline"/>
                <w:lang w:val="en-US" w:eastAsia="zh-CN"/>
              </w:rPr>
            </w:pPr>
          </w:p>
          <w:p w14:paraId="76726553">
            <w:pPr>
              <w:rPr>
                <w:rFonts w:hint="eastAsia"/>
                <w:vertAlign w:val="baseline"/>
                <w:lang w:val="en-US" w:eastAsia="zh-CN"/>
              </w:rPr>
            </w:pPr>
          </w:p>
          <w:p w14:paraId="5C6065F5">
            <w:pPr>
              <w:rPr>
                <w:rFonts w:hint="default"/>
                <w:vertAlign w:val="baseline"/>
                <w:lang w:val="en-US" w:eastAsia="zh-CN"/>
              </w:rPr>
            </w:pPr>
            <w:r>
              <w:rPr>
                <w:rFonts w:hint="eastAsia"/>
                <w:vertAlign w:val="baseline"/>
                <w:lang w:val="en-US" w:eastAsia="zh-CN"/>
              </w:rPr>
              <w:t>从轻或减轻处罚</w:t>
            </w:r>
          </w:p>
        </w:tc>
        <w:tc>
          <w:tcPr>
            <w:tcW w:w="859" w:type="pct"/>
          </w:tcPr>
          <w:p w14:paraId="3A18DFC4">
            <w:pPr>
              <w:rPr>
                <w:rFonts w:hint="eastAsia"/>
                <w:vertAlign w:val="baseline"/>
                <w:lang w:val="en-US" w:eastAsia="zh-CN"/>
              </w:rPr>
            </w:pPr>
          </w:p>
          <w:p w14:paraId="1432D613">
            <w:pPr>
              <w:rPr>
                <w:rFonts w:hint="eastAsia"/>
                <w:vertAlign w:val="baseline"/>
                <w:lang w:val="en-US" w:eastAsia="zh-CN"/>
              </w:rPr>
            </w:pPr>
          </w:p>
          <w:p w14:paraId="3D5BBA52">
            <w:pPr>
              <w:rPr>
                <w:rFonts w:hint="eastAsia"/>
                <w:vertAlign w:val="baseline"/>
                <w:lang w:val="en-US" w:eastAsia="zh-CN"/>
              </w:rPr>
            </w:pPr>
          </w:p>
          <w:p w14:paraId="00B31BFB">
            <w:pPr>
              <w:rPr>
                <w:rFonts w:hint="default"/>
                <w:vertAlign w:val="baseline"/>
                <w:lang w:val="en-US" w:eastAsia="zh-CN"/>
              </w:rPr>
            </w:pPr>
            <w:r>
              <w:rPr>
                <w:rFonts w:hint="eastAsia"/>
                <w:vertAlign w:val="baseline"/>
                <w:lang w:val="en-US" w:eastAsia="zh-CN"/>
              </w:rPr>
              <w:t>因法律没有规定更低的处罚档次，可以适用警告</w:t>
            </w:r>
          </w:p>
        </w:tc>
      </w:tr>
      <w:tr w14:paraId="2FCC7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53" w:type="pct"/>
            <w:vAlign w:val="top"/>
          </w:tcPr>
          <w:p w14:paraId="5DD71AA8">
            <w:pPr>
              <w:jc w:val="center"/>
              <w:rPr>
                <w:rFonts w:hint="default" w:ascii="黑体" w:hAnsi="宋体" w:eastAsia="黑体" w:cs="黑体"/>
                <w:i w:val="0"/>
                <w:iCs w:val="0"/>
                <w:caps w:val="0"/>
                <w:color w:val="000000"/>
                <w:spacing w:val="0"/>
                <w:kern w:val="0"/>
                <w:sz w:val="24"/>
                <w:szCs w:val="24"/>
                <w:lang w:val="en-US" w:eastAsia="zh-CN" w:bidi="ar"/>
              </w:rPr>
            </w:pPr>
            <w:r>
              <w:rPr>
                <w:rFonts w:hint="eastAsia" w:ascii="黑体" w:hAnsi="宋体" w:eastAsia="黑体" w:cs="黑体"/>
                <w:i w:val="0"/>
                <w:iCs w:val="0"/>
                <w:caps w:val="0"/>
                <w:color w:val="000000"/>
                <w:spacing w:val="0"/>
                <w:kern w:val="0"/>
                <w:sz w:val="24"/>
                <w:szCs w:val="24"/>
                <w:lang w:val="en-US" w:eastAsia="zh-CN" w:bidi="ar"/>
              </w:rPr>
              <w:t>序号</w:t>
            </w:r>
          </w:p>
        </w:tc>
        <w:tc>
          <w:tcPr>
            <w:tcW w:w="477" w:type="pct"/>
            <w:shd w:val="clear" w:color="auto" w:fill="auto"/>
            <w:vAlign w:val="top"/>
          </w:tcPr>
          <w:p w14:paraId="4D70B90C">
            <w:pPr>
              <w:jc w:val="center"/>
              <w:rPr>
                <w:rFonts w:hint="eastAsia" w:ascii="黑体" w:hAnsi="宋体" w:eastAsia="黑体" w:cs="黑体"/>
                <w:i w:val="0"/>
                <w:iCs w:val="0"/>
                <w:caps w:val="0"/>
                <w:color w:val="000000"/>
                <w:spacing w:val="0"/>
                <w:kern w:val="0"/>
                <w:sz w:val="24"/>
                <w:szCs w:val="24"/>
                <w:lang w:val="en-US" w:eastAsia="zh-CN" w:bidi="ar"/>
              </w:rPr>
            </w:pPr>
            <w:r>
              <w:rPr>
                <w:rFonts w:hint="eastAsia" w:ascii="黑体" w:hAnsi="宋体" w:eastAsia="黑体" w:cs="黑体"/>
                <w:i w:val="0"/>
                <w:iCs w:val="0"/>
                <w:caps w:val="0"/>
                <w:color w:val="000000"/>
                <w:spacing w:val="0"/>
                <w:kern w:val="0"/>
                <w:sz w:val="24"/>
                <w:szCs w:val="24"/>
                <w:lang w:val="en-US" w:eastAsia="zh-CN" w:bidi="ar"/>
              </w:rPr>
              <w:t>违法行为</w:t>
            </w:r>
          </w:p>
        </w:tc>
        <w:tc>
          <w:tcPr>
            <w:tcW w:w="1701" w:type="pct"/>
            <w:vAlign w:val="top"/>
          </w:tcPr>
          <w:p w14:paraId="106DA5B1">
            <w:pPr>
              <w:jc w:val="center"/>
              <w:rPr>
                <w:rFonts w:hint="default" w:ascii="黑体" w:hAnsi="宋体" w:eastAsia="黑体" w:cs="黑体"/>
                <w:i w:val="0"/>
                <w:iCs w:val="0"/>
                <w:caps w:val="0"/>
                <w:color w:val="000000"/>
                <w:spacing w:val="0"/>
                <w:kern w:val="0"/>
                <w:sz w:val="24"/>
                <w:szCs w:val="24"/>
                <w:lang w:val="en-US" w:eastAsia="zh-CN" w:bidi="ar"/>
              </w:rPr>
            </w:pPr>
            <w:r>
              <w:rPr>
                <w:rFonts w:hint="eastAsia" w:ascii="黑体" w:hAnsi="宋体" w:eastAsia="黑体" w:cs="黑体"/>
                <w:i w:val="0"/>
                <w:iCs w:val="0"/>
                <w:caps w:val="0"/>
                <w:color w:val="000000"/>
                <w:spacing w:val="0"/>
                <w:kern w:val="0"/>
                <w:sz w:val="24"/>
                <w:szCs w:val="24"/>
                <w:lang w:val="en-US" w:eastAsia="zh-CN" w:bidi="ar"/>
              </w:rPr>
              <w:t>法律依据</w:t>
            </w:r>
          </w:p>
        </w:tc>
        <w:tc>
          <w:tcPr>
            <w:tcW w:w="1283" w:type="pct"/>
            <w:vAlign w:val="top"/>
          </w:tcPr>
          <w:p w14:paraId="08691B30">
            <w:pPr>
              <w:jc w:val="center"/>
              <w:rPr>
                <w:rFonts w:hint="eastAsia" w:ascii="黑体" w:hAnsi="宋体" w:eastAsia="黑体" w:cs="黑体"/>
                <w:i w:val="0"/>
                <w:iCs w:val="0"/>
                <w:caps w:val="0"/>
                <w:color w:val="000000"/>
                <w:spacing w:val="0"/>
                <w:kern w:val="0"/>
                <w:sz w:val="24"/>
                <w:szCs w:val="24"/>
                <w:lang w:val="en-US" w:eastAsia="zh-CN" w:bidi="ar"/>
              </w:rPr>
            </w:pPr>
            <w:r>
              <w:rPr>
                <w:rFonts w:hint="eastAsia" w:ascii="黑体" w:hAnsi="宋体" w:eastAsia="黑体" w:cs="黑体"/>
                <w:i w:val="0"/>
                <w:iCs w:val="0"/>
                <w:caps w:val="0"/>
                <w:color w:val="000000"/>
                <w:spacing w:val="0"/>
                <w:kern w:val="0"/>
                <w:sz w:val="24"/>
                <w:szCs w:val="24"/>
                <w:lang w:val="en-US" w:eastAsia="zh-CN" w:bidi="ar"/>
              </w:rPr>
              <w:t>适用情形</w:t>
            </w:r>
          </w:p>
        </w:tc>
        <w:tc>
          <w:tcPr>
            <w:tcW w:w="424" w:type="pct"/>
            <w:vAlign w:val="top"/>
          </w:tcPr>
          <w:p w14:paraId="675D34B7">
            <w:pPr>
              <w:jc w:val="center"/>
              <w:rPr>
                <w:rFonts w:hint="eastAsia" w:ascii="黑体" w:hAnsi="宋体" w:eastAsia="黑体" w:cs="黑体"/>
                <w:i w:val="0"/>
                <w:iCs w:val="0"/>
                <w:caps w:val="0"/>
                <w:color w:val="000000"/>
                <w:spacing w:val="0"/>
                <w:kern w:val="0"/>
                <w:sz w:val="24"/>
                <w:szCs w:val="24"/>
                <w:lang w:val="en-US" w:eastAsia="zh-CN" w:bidi="ar"/>
              </w:rPr>
            </w:pPr>
            <w:r>
              <w:rPr>
                <w:rFonts w:hint="eastAsia" w:ascii="黑体" w:hAnsi="宋体" w:eastAsia="黑体" w:cs="黑体"/>
                <w:i w:val="0"/>
                <w:iCs w:val="0"/>
                <w:caps w:val="0"/>
                <w:color w:val="000000"/>
                <w:spacing w:val="0"/>
                <w:kern w:val="0"/>
                <w:sz w:val="24"/>
                <w:szCs w:val="24"/>
                <w:lang w:val="en-US" w:eastAsia="zh-CN" w:bidi="ar"/>
              </w:rPr>
              <w:t>裁量阶次</w:t>
            </w:r>
          </w:p>
        </w:tc>
        <w:tc>
          <w:tcPr>
            <w:tcW w:w="859" w:type="pct"/>
            <w:vAlign w:val="top"/>
          </w:tcPr>
          <w:p w14:paraId="222172AF">
            <w:pPr>
              <w:jc w:val="center"/>
              <w:rPr>
                <w:rFonts w:hint="default" w:ascii="黑体" w:hAnsi="宋体" w:eastAsia="黑体" w:cs="黑体"/>
                <w:i w:val="0"/>
                <w:iCs w:val="0"/>
                <w:caps w:val="0"/>
                <w:color w:val="000000"/>
                <w:spacing w:val="0"/>
                <w:kern w:val="0"/>
                <w:sz w:val="24"/>
                <w:szCs w:val="24"/>
                <w:lang w:val="en-US" w:eastAsia="zh-CN" w:bidi="ar"/>
              </w:rPr>
            </w:pPr>
            <w:r>
              <w:rPr>
                <w:rFonts w:hint="eastAsia" w:ascii="黑体" w:hAnsi="宋体" w:eastAsia="黑体" w:cs="黑体"/>
                <w:i w:val="0"/>
                <w:iCs w:val="0"/>
                <w:caps w:val="0"/>
                <w:color w:val="000000"/>
                <w:spacing w:val="0"/>
                <w:kern w:val="0"/>
                <w:sz w:val="24"/>
                <w:szCs w:val="24"/>
                <w:lang w:val="en-US" w:eastAsia="zh-CN" w:bidi="ar"/>
              </w:rPr>
              <w:t>处理标准</w:t>
            </w:r>
          </w:p>
        </w:tc>
      </w:tr>
      <w:tr w14:paraId="2CF6E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253" w:type="pct"/>
            <w:vMerge w:val="restart"/>
          </w:tcPr>
          <w:p w14:paraId="63352B8C">
            <w:pPr>
              <w:jc w:val="center"/>
              <w:rPr>
                <w:rFonts w:hint="eastAsia"/>
                <w:vertAlign w:val="baseline"/>
                <w:lang w:val="en-US" w:eastAsia="zh-CN"/>
              </w:rPr>
            </w:pPr>
          </w:p>
          <w:p w14:paraId="418DF83F">
            <w:pPr>
              <w:jc w:val="center"/>
              <w:rPr>
                <w:rFonts w:hint="eastAsia"/>
                <w:vertAlign w:val="baseline"/>
                <w:lang w:val="en-US" w:eastAsia="zh-CN"/>
              </w:rPr>
            </w:pPr>
          </w:p>
          <w:p w14:paraId="6FD6B18C">
            <w:pPr>
              <w:jc w:val="center"/>
              <w:rPr>
                <w:rFonts w:hint="eastAsia"/>
                <w:vertAlign w:val="baseline"/>
                <w:lang w:val="en-US" w:eastAsia="zh-CN"/>
              </w:rPr>
            </w:pPr>
          </w:p>
          <w:p w14:paraId="5924F014">
            <w:pPr>
              <w:jc w:val="center"/>
              <w:rPr>
                <w:rFonts w:hint="eastAsia"/>
                <w:vertAlign w:val="baseline"/>
                <w:lang w:val="en-US" w:eastAsia="zh-CN"/>
              </w:rPr>
            </w:pPr>
          </w:p>
          <w:p w14:paraId="6B152B0A">
            <w:pPr>
              <w:jc w:val="center"/>
              <w:rPr>
                <w:rFonts w:hint="eastAsia"/>
                <w:vertAlign w:val="baseline"/>
                <w:lang w:val="en-US" w:eastAsia="zh-CN"/>
              </w:rPr>
            </w:pPr>
          </w:p>
          <w:p w14:paraId="0844F370">
            <w:pPr>
              <w:jc w:val="center"/>
              <w:rPr>
                <w:rFonts w:hint="eastAsia"/>
                <w:vertAlign w:val="baseline"/>
                <w:lang w:val="en-US" w:eastAsia="zh-CN"/>
              </w:rPr>
            </w:pPr>
          </w:p>
          <w:p w14:paraId="3E6DD388">
            <w:pPr>
              <w:jc w:val="center"/>
              <w:rPr>
                <w:rFonts w:hint="eastAsia"/>
                <w:vertAlign w:val="baseline"/>
                <w:lang w:val="en-US" w:eastAsia="zh-CN"/>
              </w:rPr>
            </w:pPr>
          </w:p>
          <w:p w14:paraId="764E3053">
            <w:pPr>
              <w:jc w:val="center"/>
              <w:rPr>
                <w:rFonts w:hint="eastAsia"/>
                <w:vertAlign w:val="baseline"/>
                <w:lang w:val="en-US" w:eastAsia="zh-CN"/>
              </w:rPr>
            </w:pPr>
          </w:p>
          <w:p w14:paraId="16C42878">
            <w:pPr>
              <w:jc w:val="center"/>
              <w:rPr>
                <w:rFonts w:hint="eastAsia"/>
                <w:vertAlign w:val="baseline"/>
                <w:lang w:val="en-US" w:eastAsia="zh-CN"/>
              </w:rPr>
            </w:pPr>
          </w:p>
          <w:p w14:paraId="75545BCA">
            <w:pPr>
              <w:jc w:val="center"/>
              <w:rPr>
                <w:rFonts w:hint="eastAsia"/>
                <w:vertAlign w:val="baseline"/>
                <w:lang w:val="en-US" w:eastAsia="zh-CN"/>
              </w:rPr>
            </w:pPr>
          </w:p>
          <w:p w14:paraId="52C50A0D">
            <w:pPr>
              <w:jc w:val="both"/>
              <w:rPr>
                <w:rFonts w:hint="eastAsia"/>
                <w:vertAlign w:val="baseline"/>
                <w:lang w:val="en-US" w:eastAsia="zh-CN"/>
              </w:rPr>
            </w:pPr>
          </w:p>
          <w:p w14:paraId="62AEA447">
            <w:pPr>
              <w:jc w:val="center"/>
              <w:rPr>
                <w:rFonts w:hint="eastAsia"/>
                <w:vertAlign w:val="baseline"/>
                <w:lang w:val="en-US" w:eastAsia="zh-CN"/>
              </w:rPr>
            </w:pPr>
          </w:p>
          <w:p w14:paraId="25FF2CB6">
            <w:pPr>
              <w:jc w:val="center"/>
              <w:rPr>
                <w:rFonts w:hint="default"/>
                <w:vertAlign w:val="baseline"/>
                <w:lang w:val="en-US" w:eastAsia="zh-CN"/>
              </w:rPr>
            </w:pPr>
            <w:r>
              <w:rPr>
                <w:rFonts w:hint="eastAsia"/>
                <w:vertAlign w:val="baseline"/>
                <w:lang w:val="en-US" w:eastAsia="zh-CN"/>
              </w:rPr>
              <w:t>2</w:t>
            </w:r>
          </w:p>
          <w:p w14:paraId="10477824">
            <w:pPr>
              <w:jc w:val="left"/>
              <w:rPr>
                <w:rFonts w:hint="default"/>
                <w:vertAlign w:val="baseline"/>
                <w:lang w:val="en-US" w:eastAsia="zh-CN"/>
              </w:rPr>
            </w:pPr>
          </w:p>
        </w:tc>
        <w:tc>
          <w:tcPr>
            <w:tcW w:w="477" w:type="pct"/>
            <w:vMerge w:val="restart"/>
            <w:shd w:val="clear" w:color="auto" w:fill="auto"/>
            <w:vAlign w:val="top"/>
          </w:tcPr>
          <w:p w14:paraId="2AECD0D0">
            <w:pPr>
              <w:jc w:val="left"/>
            </w:pPr>
          </w:p>
          <w:p w14:paraId="020B4C03">
            <w:pPr>
              <w:jc w:val="left"/>
            </w:pPr>
          </w:p>
          <w:p w14:paraId="5D3FC662">
            <w:pPr>
              <w:jc w:val="left"/>
              <w:rPr>
                <w:rFonts w:hint="default" w:asciiTheme="minorHAnsi" w:hAnsiTheme="minorHAnsi" w:eastAsiaTheme="minorEastAsia" w:cstheme="minorBidi"/>
                <w:kern w:val="2"/>
                <w:sz w:val="21"/>
                <w:szCs w:val="24"/>
                <w:lang w:val="en-US" w:eastAsia="zh-CN" w:bidi="ar-SA"/>
              </w:rPr>
            </w:pPr>
            <w:r>
              <w:t>单位不办理住房公积金缴存登记，经管理中心责令限期办理后仍未办理的</w:t>
            </w:r>
          </w:p>
        </w:tc>
        <w:tc>
          <w:tcPr>
            <w:tcW w:w="1701" w:type="pct"/>
            <w:vMerge w:val="restart"/>
          </w:tcPr>
          <w:p w14:paraId="1EF4ED59">
            <w:pPr>
              <w:jc w:val="left"/>
              <w:rPr>
                <w:rFonts w:hint="eastAsia"/>
                <w:lang w:val="en-US" w:eastAsia="zh-CN"/>
              </w:rPr>
            </w:pPr>
          </w:p>
          <w:p w14:paraId="1C15A342">
            <w:pPr>
              <w:jc w:val="left"/>
              <w:rPr>
                <w:rFonts w:hint="eastAsia"/>
                <w:lang w:val="en-US" w:eastAsia="zh-CN"/>
              </w:rPr>
            </w:pPr>
          </w:p>
          <w:p w14:paraId="2CE32B31">
            <w:pPr>
              <w:jc w:val="left"/>
              <w:rPr>
                <w:rFonts w:hint="eastAsia"/>
                <w:lang w:val="en-US" w:eastAsia="zh-CN"/>
              </w:rPr>
            </w:pPr>
          </w:p>
          <w:p w14:paraId="025BBA72">
            <w:pPr>
              <w:jc w:val="left"/>
              <w:rPr>
                <w:rFonts w:hint="eastAsia"/>
                <w:lang w:val="en-US" w:eastAsia="zh-CN"/>
              </w:rPr>
            </w:pPr>
          </w:p>
          <w:p w14:paraId="05610E27">
            <w:pPr>
              <w:jc w:val="left"/>
              <w:rPr>
                <w:rFonts w:hint="eastAsia"/>
                <w:lang w:val="en-US" w:eastAsia="zh-CN"/>
              </w:rPr>
            </w:pPr>
          </w:p>
          <w:p w14:paraId="388F06EE">
            <w:pPr>
              <w:jc w:val="left"/>
              <w:rPr>
                <w:rFonts w:hint="eastAsia"/>
                <w:lang w:val="en-US" w:eastAsia="zh-CN"/>
              </w:rPr>
            </w:pPr>
          </w:p>
          <w:p w14:paraId="31681913">
            <w:pPr>
              <w:jc w:val="left"/>
              <w:rPr>
                <w:rFonts w:hint="eastAsia"/>
                <w:lang w:val="en-US" w:eastAsia="zh-CN"/>
              </w:rPr>
            </w:pPr>
          </w:p>
          <w:p w14:paraId="25C7E89D">
            <w:pPr>
              <w:jc w:val="left"/>
              <w:rPr>
                <w:rFonts w:hint="eastAsia"/>
                <w:lang w:val="en-US" w:eastAsia="zh-CN"/>
              </w:rPr>
            </w:pPr>
          </w:p>
          <w:p w14:paraId="0EB851A8">
            <w:pPr>
              <w:jc w:val="left"/>
              <w:rPr>
                <w:rFonts w:hint="eastAsia"/>
                <w:lang w:val="en-US" w:eastAsia="zh-CN"/>
              </w:rPr>
            </w:pPr>
          </w:p>
          <w:p w14:paraId="3C273002">
            <w:pPr>
              <w:jc w:val="left"/>
              <w:rPr>
                <w:rFonts w:hint="eastAsia"/>
                <w:lang w:val="en-US" w:eastAsia="zh-CN"/>
              </w:rPr>
            </w:pPr>
          </w:p>
          <w:p w14:paraId="4C6121D6">
            <w:pPr>
              <w:jc w:val="left"/>
              <w:rPr>
                <w:rFonts w:hint="default"/>
                <w:vertAlign w:val="baseline"/>
                <w:lang w:val="en-US" w:eastAsia="zh-CN"/>
              </w:rPr>
            </w:pPr>
            <w:r>
              <w:rPr>
                <w:rFonts w:hint="eastAsia"/>
                <w:lang w:val="en-US" w:eastAsia="zh-CN"/>
              </w:rPr>
              <w:t>《住房公积金管理条例》第37条 违反本条例的规定，单位不办理住房公积金缴存登记或者不为本单位职工办理住房公积金账户设立手续的，由住房公积金管理中心责令限期办理；逾期不办理的，处1万元以上5万元以下的罚款。</w:t>
            </w:r>
          </w:p>
        </w:tc>
        <w:tc>
          <w:tcPr>
            <w:tcW w:w="1283" w:type="pct"/>
          </w:tcPr>
          <w:p w14:paraId="08E0BABE">
            <w:pPr>
              <w:numPr>
                <w:ilvl w:val="0"/>
                <w:numId w:val="3"/>
              </w:numPr>
              <w:rPr>
                <w:rFonts w:hint="eastAsia"/>
                <w:lang w:val="en-US" w:eastAsia="zh-CN"/>
              </w:rPr>
            </w:pPr>
            <w:r>
              <w:t>轻微违法行为的表现情形：单位未按规定办理缴存登记的期间在12个月以下的。</w:t>
            </w:r>
          </w:p>
        </w:tc>
        <w:tc>
          <w:tcPr>
            <w:tcW w:w="424" w:type="pct"/>
          </w:tcPr>
          <w:p w14:paraId="71999CCC">
            <w:pPr>
              <w:rPr>
                <w:rFonts w:hint="eastAsia"/>
                <w:vertAlign w:val="baseline"/>
                <w:lang w:val="en-US" w:eastAsia="zh-CN"/>
              </w:rPr>
            </w:pPr>
            <w:r>
              <w:rPr>
                <w:rFonts w:hint="eastAsia"/>
                <w:vertAlign w:val="baseline"/>
                <w:lang w:val="en-US" w:eastAsia="zh-CN"/>
              </w:rPr>
              <w:t>从轻或减轻处罚</w:t>
            </w:r>
          </w:p>
        </w:tc>
        <w:tc>
          <w:tcPr>
            <w:tcW w:w="859" w:type="pct"/>
          </w:tcPr>
          <w:p w14:paraId="163E942F">
            <w:pPr>
              <w:rPr>
                <w:rFonts w:hint="default"/>
                <w:vertAlign w:val="baseline"/>
                <w:lang w:val="en-US" w:eastAsia="zh-CN"/>
              </w:rPr>
            </w:pPr>
            <w:r>
              <w:t>处1万元以上（含）2万元以下罚款。</w:t>
            </w:r>
          </w:p>
        </w:tc>
      </w:tr>
      <w:tr w14:paraId="5D37A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253" w:type="pct"/>
            <w:vMerge w:val="continue"/>
          </w:tcPr>
          <w:p w14:paraId="0EEB8844">
            <w:pPr>
              <w:jc w:val="left"/>
              <w:rPr>
                <w:rFonts w:hint="default"/>
                <w:vertAlign w:val="baseline"/>
                <w:lang w:val="en-US" w:eastAsia="zh-CN"/>
              </w:rPr>
            </w:pPr>
          </w:p>
        </w:tc>
        <w:tc>
          <w:tcPr>
            <w:tcW w:w="477" w:type="pct"/>
            <w:vMerge w:val="continue"/>
          </w:tcPr>
          <w:p w14:paraId="1596545A">
            <w:pPr>
              <w:jc w:val="left"/>
              <w:rPr>
                <w:rFonts w:hint="default"/>
                <w:vertAlign w:val="baseline"/>
                <w:lang w:val="en-US" w:eastAsia="zh-CN"/>
              </w:rPr>
            </w:pPr>
          </w:p>
        </w:tc>
        <w:tc>
          <w:tcPr>
            <w:tcW w:w="1701" w:type="pct"/>
            <w:vMerge w:val="continue"/>
          </w:tcPr>
          <w:p w14:paraId="09EBEAF1">
            <w:pPr>
              <w:jc w:val="left"/>
              <w:rPr>
                <w:rFonts w:hint="default"/>
                <w:vertAlign w:val="baseline"/>
                <w:lang w:val="en-US" w:eastAsia="zh-CN"/>
              </w:rPr>
            </w:pPr>
          </w:p>
        </w:tc>
        <w:tc>
          <w:tcPr>
            <w:tcW w:w="1283" w:type="pct"/>
          </w:tcPr>
          <w:p w14:paraId="6EF061A5">
            <w:pPr>
              <w:numPr>
                <w:ilvl w:val="0"/>
                <w:numId w:val="3"/>
              </w:numPr>
              <w:ind w:left="0" w:leftChars="0" w:firstLine="0" w:firstLineChars="0"/>
              <w:rPr>
                <w:rFonts w:hint="eastAsia"/>
                <w:lang w:val="en-US" w:eastAsia="zh-CN"/>
              </w:rPr>
            </w:pPr>
            <w:r>
              <w:t>较轻违法行为的表现情形：单位未按规定办理缴存登记的期间在12个月以上24个月以下的。</w:t>
            </w:r>
          </w:p>
        </w:tc>
        <w:tc>
          <w:tcPr>
            <w:tcW w:w="424" w:type="pct"/>
          </w:tcPr>
          <w:p w14:paraId="732E50E4">
            <w:pPr>
              <w:rPr>
                <w:rFonts w:hint="eastAsia"/>
                <w:vertAlign w:val="baseline"/>
                <w:lang w:val="en-US" w:eastAsia="zh-CN"/>
              </w:rPr>
            </w:pPr>
            <w:r>
              <w:rPr>
                <w:rFonts w:hint="eastAsia"/>
                <w:vertAlign w:val="baseline"/>
                <w:lang w:val="en-US" w:eastAsia="zh-CN"/>
              </w:rPr>
              <w:t>从轻或减轻处罚</w:t>
            </w:r>
          </w:p>
        </w:tc>
        <w:tc>
          <w:tcPr>
            <w:tcW w:w="859" w:type="pct"/>
          </w:tcPr>
          <w:p w14:paraId="2A8F83D5">
            <w:pPr>
              <w:rPr>
                <w:rFonts w:hint="eastAsia" w:eastAsiaTheme="minorEastAsia"/>
                <w:lang w:eastAsia="zh-CN"/>
              </w:rPr>
            </w:pPr>
            <w:r>
              <w:t>处2万元以上3万元以下罚款</w:t>
            </w:r>
            <w:r>
              <w:rPr>
                <w:rFonts w:hint="eastAsia"/>
                <w:lang w:eastAsia="zh-CN"/>
              </w:rPr>
              <w:t>。</w:t>
            </w:r>
          </w:p>
          <w:p w14:paraId="4AA6DACA">
            <w:pPr>
              <w:rPr>
                <w:rFonts w:hint="default"/>
                <w:vertAlign w:val="baseline"/>
                <w:lang w:val="en-US" w:eastAsia="zh-CN"/>
              </w:rPr>
            </w:pPr>
          </w:p>
        </w:tc>
      </w:tr>
      <w:tr w14:paraId="23604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253" w:type="pct"/>
            <w:vMerge w:val="continue"/>
          </w:tcPr>
          <w:p w14:paraId="791CBFE2">
            <w:pPr>
              <w:jc w:val="left"/>
              <w:rPr>
                <w:rFonts w:hint="default"/>
                <w:vertAlign w:val="baseline"/>
                <w:lang w:val="en-US" w:eastAsia="zh-CN"/>
              </w:rPr>
            </w:pPr>
          </w:p>
        </w:tc>
        <w:tc>
          <w:tcPr>
            <w:tcW w:w="477" w:type="pct"/>
            <w:vMerge w:val="continue"/>
          </w:tcPr>
          <w:p w14:paraId="57958552">
            <w:pPr>
              <w:jc w:val="left"/>
              <w:rPr>
                <w:rFonts w:hint="default"/>
                <w:vertAlign w:val="baseline"/>
                <w:lang w:val="en-US" w:eastAsia="zh-CN"/>
              </w:rPr>
            </w:pPr>
          </w:p>
        </w:tc>
        <w:tc>
          <w:tcPr>
            <w:tcW w:w="1701" w:type="pct"/>
            <w:vMerge w:val="continue"/>
          </w:tcPr>
          <w:p w14:paraId="612B4DBC">
            <w:pPr>
              <w:jc w:val="left"/>
              <w:rPr>
                <w:rFonts w:hint="default"/>
                <w:vertAlign w:val="baseline"/>
                <w:lang w:val="en-US" w:eastAsia="zh-CN"/>
              </w:rPr>
            </w:pPr>
          </w:p>
        </w:tc>
        <w:tc>
          <w:tcPr>
            <w:tcW w:w="1283" w:type="pct"/>
          </w:tcPr>
          <w:p w14:paraId="4E304717">
            <w:pPr>
              <w:numPr>
                <w:ilvl w:val="0"/>
                <w:numId w:val="3"/>
              </w:numPr>
              <w:ind w:left="0" w:leftChars="0" w:firstLine="0" w:firstLineChars="0"/>
              <w:rPr>
                <w:rFonts w:hint="eastAsia"/>
                <w:lang w:val="en-US" w:eastAsia="zh-CN"/>
              </w:rPr>
            </w:pPr>
            <w:r>
              <w:t>较重违法行为的表现情形：单位未按规定办理缴存登记的期间在24个月以上36个月以下的。</w:t>
            </w:r>
          </w:p>
        </w:tc>
        <w:tc>
          <w:tcPr>
            <w:tcW w:w="424" w:type="pct"/>
          </w:tcPr>
          <w:p w14:paraId="41310880">
            <w:pPr>
              <w:rPr>
                <w:rFonts w:hint="eastAsia"/>
                <w:vertAlign w:val="baseline"/>
                <w:lang w:val="en-US" w:eastAsia="zh-CN"/>
              </w:rPr>
            </w:pPr>
            <w:r>
              <w:rPr>
                <w:rFonts w:hint="eastAsia"/>
                <w:vertAlign w:val="baseline"/>
                <w:lang w:val="en-US" w:eastAsia="zh-CN"/>
              </w:rPr>
              <w:t>从重处罚</w:t>
            </w:r>
          </w:p>
        </w:tc>
        <w:tc>
          <w:tcPr>
            <w:tcW w:w="859" w:type="pct"/>
          </w:tcPr>
          <w:p w14:paraId="77914D98">
            <w:r>
              <w:t>处3万元以</w:t>
            </w:r>
            <w:bookmarkStart w:id="0" w:name="_GoBack"/>
            <w:bookmarkEnd w:id="0"/>
            <w:r>
              <w:t>上4万元以下罚款。</w:t>
            </w:r>
          </w:p>
          <w:p w14:paraId="39B6C2B0">
            <w:pPr>
              <w:rPr>
                <w:rFonts w:hint="default"/>
                <w:vertAlign w:val="baseline"/>
                <w:lang w:val="en-US" w:eastAsia="zh-CN"/>
              </w:rPr>
            </w:pPr>
          </w:p>
        </w:tc>
      </w:tr>
      <w:tr w14:paraId="4EA54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253" w:type="pct"/>
            <w:vMerge w:val="continue"/>
          </w:tcPr>
          <w:p w14:paraId="2765EF74">
            <w:pPr>
              <w:jc w:val="left"/>
              <w:rPr>
                <w:rFonts w:hint="default"/>
                <w:vertAlign w:val="baseline"/>
                <w:lang w:val="en-US" w:eastAsia="zh-CN"/>
              </w:rPr>
            </w:pPr>
          </w:p>
        </w:tc>
        <w:tc>
          <w:tcPr>
            <w:tcW w:w="477" w:type="pct"/>
            <w:vMerge w:val="continue"/>
          </w:tcPr>
          <w:p w14:paraId="273A2CF0">
            <w:pPr>
              <w:jc w:val="left"/>
              <w:rPr>
                <w:rFonts w:hint="default"/>
                <w:vertAlign w:val="baseline"/>
                <w:lang w:val="en-US" w:eastAsia="zh-CN"/>
              </w:rPr>
            </w:pPr>
          </w:p>
        </w:tc>
        <w:tc>
          <w:tcPr>
            <w:tcW w:w="1701" w:type="pct"/>
            <w:vMerge w:val="continue"/>
          </w:tcPr>
          <w:p w14:paraId="5E8E3990">
            <w:pPr>
              <w:jc w:val="left"/>
              <w:rPr>
                <w:rFonts w:hint="default"/>
                <w:vertAlign w:val="baseline"/>
                <w:lang w:val="en-US" w:eastAsia="zh-CN"/>
              </w:rPr>
            </w:pPr>
          </w:p>
        </w:tc>
        <w:tc>
          <w:tcPr>
            <w:tcW w:w="1283" w:type="pct"/>
          </w:tcPr>
          <w:p w14:paraId="5F30625B">
            <w:pPr>
              <w:numPr>
                <w:ilvl w:val="0"/>
                <w:numId w:val="3"/>
              </w:numPr>
              <w:ind w:left="0" w:leftChars="0" w:firstLine="0" w:firstLineChars="0"/>
              <w:rPr>
                <w:rFonts w:hint="eastAsia"/>
                <w:lang w:val="en-US" w:eastAsia="zh-CN"/>
              </w:rPr>
            </w:pPr>
            <w:r>
              <w:t>严重违法行为的表现情形：单位未按规定办理缴存登记的期间在36个月以上的。</w:t>
            </w:r>
          </w:p>
        </w:tc>
        <w:tc>
          <w:tcPr>
            <w:tcW w:w="424" w:type="pct"/>
          </w:tcPr>
          <w:p w14:paraId="58030098">
            <w:pPr>
              <w:rPr>
                <w:rFonts w:hint="eastAsia"/>
                <w:vertAlign w:val="baseline"/>
                <w:lang w:val="en-US" w:eastAsia="zh-CN"/>
              </w:rPr>
            </w:pPr>
            <w:r>
              <w:rPr>
                <w:rFonts w:hint="eastAsia"/>
                <w:vertAlign w:val="baseline"/>
                <w:lang w:val="en-US" w:eastAsia="zh-CN"/>
              </w:rPr>
              <w:t>从重处罚</w:t>
            </w:r>
          </w:p>
        </w:tc>
        <w:tc>
          <w:tcPr>
            <w:tcW w:w="859" w:type="pct"/>
          </w:tcPr>
          <w:p w14:paraId="2EB6DCCB">
            <w:pPr>
              <w:rPr>
                <w:rFonts w:hint="default"/>
                <w:vertAlign w:val="baseline"/>
                <w:lang w:val="en-US" w:eastAsia="zh-CN"/>
              </w:rPr>
            </w:pPr>
            <w:r>
              <w:t>处4万元以上5万元以下罚款。</w:t>
            </w:r>
          </w:p>
        </w:tc>
      </w:tr>
      <w:tr w14:paraId="15387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3" w:type="pct"/>
            <w:vMerge w:val="continue"/>
          </w:tcPr>
          <w:p w14:paraId="3D4CDA3E">
            <w:pPr>
              <w:jc w:val="left"/>
              <w:rPr>
                <w:rFonts w:hint="default"/>
                <w:vertAlign w:val="baseline"/>
                <w:lang w:val="en-US" w:eastAsia="zh-CN"/>
              </w:rPr>
            </w:pPr>
          </w:p>
        </w:tc>
        <w:tc>
          <w:tcPr>
            <w:tcW w:w="477" w:type="pct"/>
            <w:vMerge w:val="restart"/>
            <w:shd w:val="clear" w:color="auto" w:fill="auto"/>
            <w:vAlign w:val="top"/>
          </w:tcPr>
          <w:p w14:paraId="74505B0E">
            <w:pPr>
              <w:jc w:val="left"/>
            </w:pPr>
          </w:p>
          <w:p w14:paraId="14396608">
            <w:pPr>
              <w:jc w:val="left"/>
            </w:pPr>
          </w:p>
          <w:p w14:paraId="010A3ADA">
            <w:pPr>
              <w:jc w:val="left"/>
              <w:rPr>
                <w:rFonts w:hint="default" w:asciiTheme="minorHAnsi" w:hAnsiTheme="minorHAnsi" w:eastAsiaTheme="minorEastAsia" w:cstheme="minorBidi"/>
                <w:kern w:val="2"/>
                <w:sz w:val="21"/>
                <w:szCs w:val="24"/>
                <w:lang w:val="en-US" w:eastAsia="zh-CN" w:bidi="ar-SA"/>
              </w:rPr>
            </w:pPr>
            <w:r>
              <w:t>单位不为本单位职工办理住房公积金账户设立手续，经管理中心责令限期办理后仍未办理的</w:t>
            </w:r>
          </w:p>
        </w:tc>
        <w:tc>
          <w:tcPr>
            <w:tcW w:w="1701" w:type="pct"/>
            <w:vMerge w:val="continue"/>
          </w:tcPr>
          <w:p w14:paraId="09D56821">
            <w:pPr>
              <w:jc w:val="left"/>
              <w:rPr>
                <w:rFonts w:hint="default"/>
                <w:vertAlign w:val="baseline"/>
                <w:lang w:val="en-US" w:eastAsia="zh-CN"/>
              </w:rPr>
            </w:pPr>
          </w:p>
        </w:tc>
        <w:tc>
          <w:tcPr>
            <w:tcW w:w="1283" w:type="pct"/>
          </w:tcPr>
          <w:p w14:paraId="08D0BC0E">
            <w:pPr>
              <w:numPr>
                <w:ilvl w:val="0"/>
                <w:numId w:val="4"/>
              </w:numPr>
            </w:pPr>
            <w:r>
              <w:t>轻微违法行为的表现情形：单位应设未设职工住房公积金账户30个以下的。</w:t>
            </w:r>
          </w:p>
        </w:tc>
        <w:tc>
          <w:tcPr>
            <w:tcW w:w="424" w:type="pct"/>
            <w:vAlign w:val="top"/>
          </w:tcPr>
          <w:p w14:paraId="41D70B88">
            <w:pP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从轻或减轻处罚</w:t>
            </w:r>
          </w:p>
        </w:tc>
        <w:tc>
          <w:tcPr>
            <w:tcW w:w="859" w:type="pct"/>
            <w:vAlign w:val="top"/>
          </w:tcPr>
          <w:p w14:paraId="3AE1B4AD">
            <w:pPr>
              <w:rPr>
                <w:rFonts w:hint="default" w:asciiTheme="minorHAnsi" w:hAnsiTheme="minorHAnsi" w:eastAsiaTheme="minorEastAsia" w:cstheme="minorBidi"/>
                <w:kern w:val="2"/>
                <w:sz w:val="21"/>
                <w:szCs w:val="24"/>
                <w:vertAlign w:val="baseline"/>
                <w:lang w:val="en-US" w:eastAsia="zh-CN" w:bidi="ar-SA"/>
              </w:rPr>
            </w:pPr>
            <w:r>
              <w:t>处1万元以上（含）2万元以下罚款。</w:t>
            </w:r>
          </w:p>
        </w:tc>
      </w:tr>
      <w:tr w14:paraId="3D419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253" w:type="pct"/>
            <w:vMerge w:val="continue"/>
          </w:tcPr>
          <w:p w14:paraId="39936192">
            <w:pPr>
              <w:rPr>
                <w:rFonts w:hint="default"/>
                <w:vertAlign w:val="baseline"/>
                <w:lang w:val="en-US" w:eastAsia="zh-CN"/>
              </w:rPr>
            </w:pPr>
          </w:p>
        </w:tc>
        <w:tc>
          <w:tcPr>
            <w:tcW w:w="477" w:type="pct"/>
            <w:vMerge w:val="continue"/>
          </w:tcPr>
          <w:p w14:paraId="63B362E9">
            <w:pPr>
              <w:rPr>
                <w:rFonts w:hint="default"/>
                <w:vertAlign w:val="baseline"/>
                <w:lang w:val="en-US" w:eastAsia="zh-CN"/>
              </w:rPr>
            </w:pPr>
          </w:p>
        </w:tc>
        <w:tc>
          <w:tcPr>
            <w:tcW w:w="1701" w:type="pct"/>
            <w:vMerge w:val="continue"/>
          </w:tcPr>
          <w:p w14:paraId="7F06CA81">
            <w:pPr>
              <w:rPr>
                <w:rFonts w:hint="default"/>
                <w:vertAlign w:val="baseline"/>
                <w:lang w:val="en-US" w:eastAsia="zh-CN"/>
              </w:rPr>
            </w:pPr>
          </w:p>
        </w:tc>
        <w:tc>
          <w:tcPr>
            <w:tcW w:w="1283" w:type="pct"/>
          </w:tcPr>
          <w:p w14:paraId="59BC197E">
            <w:pPr>
              <w:numPr>
                <w:ilvl w:val="0"/>
                <w:numId w:val="4"/>
              </w:numPr>
              <w:ind w:left="0" w:leftChars="0" w:firstLine="0" w:firstLineChars="0"/>
            </w:pPr>
            <w:r>
              <w:t>较轻违法行为的表现情形：单位应设未设职工住房公积金账户30个以上60个以下的。</w:t>
            </w:r>
          </w:p>
        </w:tc>
        <w:tc>
          <w:tcPr>
            <w:tcW w:w="424" w:type="pct"/>
            <w:vAlign w:val="top"/>
          </w:tcPr>
          <w:p w14:paraId="227B6B09">
            <w:pP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从轻或减轻处罚</w:t>
            </w:r>
          </w:p>
        </w:tc>
        <w:tc>
          <w:tcPr>
            <w:tcW w:w="859" w:type="pct"/>
            <w:vAlign w:val="top"/>
          </w:tcPr>
          <w:p w14:paraId="36E97836">
            <w:pPr>
              <w:rPr>
                <w:rFonts w:hint="eastAsia" w:eastAsiaTheme="minorEastAsia"/>
                <w:lang w:eastAsia="zh-CN"/>
              </w:rPr>
            </w:pPr>
            <w:r>
              <w:t>处2万元以上3万元以下罚款</w:t>
            </w:r>
            <w:r>
              <w:rPr>
                <w:rFonts w:hint="eastAsia"/>
                <w:lang w:eastAsia="zh-CN"/>
              </w:rPr>
              <w:t>。</w:t>
            </w:r>
          </w:p>
          <w:p w14:paraId="34D986E0">
            <w:pPr>
              <w:rPr>
                <w:rFonts w:hint="default" w:asciiTheme="minorHAnsi" w:hAnsiTheme="minorHAnsi" w:eastAsiaTheme="minorEastAsia" w:cstheme="minorBidi"/>
                <w:kern w:val="2"/>
                <w:sz w:val="21"/>
                <w:szCs w:val="24"/>
                <w:vertAlign w:val="baseline"/>
                <w:lang w:val="en-US" w:eastAsia="zh-CN" w:bidi="ar-SA"/>
              </w:rPr>
            </w:pPr>
          </w:p>
        </w:tc>
      </w:tr>
      <w:tr w14:paraId="37532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253" w:type="pct"/>
            <w:vMerge w:val="continue"/>
          </w:tcPr>
          <w:p w14:paraId="69656352">
            <w:pPr>
              <w:rPr>
                <w:rFonts w:hint="default"/>
                <w:vertAlign w:val="baseline"/>
                <w:lang w:val="en-US" w:eastAsia="zh-CN"/>
              </w:rPr>
            </w:pPr>
          </w:p>
        </w:tc>
        <w:tc>
          <w:tcPr>
            <w:tcW w:w="477" w:type="pct"/>
            <w:vMerge w:val="continue"/>
          </w:tcPr>
          <w:p w14:paraId="32B286F6">
            <w:pPr>
              <w:rPr>
                <w:rFonts w:hint="default"/>
                <w:vertAlign w:val="baseline"/>
                <w:lang w:val="en-US" w:eastAsia="zh-CN"/>
              </w:rPr>
            </w:pPr>
          </w:p>
        </w:tc>
        <w:tc>
          <w:tcPr>
            <w:tcW w:w="1701" w:type="pct"/>
            <w:vMerge w:val="continue"/>
          </w:tcPr>
          <w:p w14:paraId="747D2188">
            <w:pPr>
              <w:rPr>
                <w:rFonts w:hint="default"/>
                <w:vertAlign w:val="baseline"/>
                <w:lang w:val="en-US" w:eastAsia="zh-CN"/>
              </w:rPr>
            </w:pPr>
          </w:p>
        </w:tc>
        <w:tc>
          <w:tcPr>
            <w:tcW w:w="1283" w:type="pct"/>
          </w:tcPr>
          <w:p w14:paraId="6BBEDD35">
            <w:pPr>
              <w:numPr>
                <w:ilvl w:val="0"/>
                <w:numId w:val="4"/>
              </w:numPr>
              <w:ind w:left="0" w:leftChars="0" w:firstLine="0" w:firstLineChars="0"/>
            </w:pPr>
            <w:r>
              <w:t>较重违法行为的表现情形：单位应设未设职工住房公积金账60个以上90个以下的。</w:t>
            </w:r>
          </w:p>
        </w:tc>
        <w:tc>
          <w:tcPr>
            <w:tcW w:w="424" w:type="pct"/>
            <w:vAlign w:val="top"/>
          </w:tcPr>
          <w:p w14:paraId="6194C177">
            <w:pP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从重处罚</w:t>
            </w:r>
          </w:p>
        </w:tc>
        <w:tc>
          <w:tcPr>
            <w:tcW w:w="859" w:type="pct"/>
            <w:vAlign w:val="top"/>
          </w:tcPr>
          <w:p w14:paraId="11C81168">
            <w:r>
              <w:t>处3万元以上4万元以下罚款。</w:t>
            </w:r>
          </w:p>
          <w:p w14:paraId="2D8D5D34">
            <w:pPr>
              <w:rPr>
                <w:rFonts w:hint="default" w:asciiTheme="minorHAnsi" w:hAnsiTheme="minorHAnsi" w:eastAsiaTheme="minorEastAsia" w:cstheme="minorBidi"/>
                <w:kern w:val="2"/>
                <w:sz w:val="21"/>
                <w:szCs w:val="24"/>
                <w:vertAlign w:val="baseline"/>
                <w:lang w:val="en-US" w:eastAsia="zh-CN" w:bidi="ar-SA"/>
              </w:rPr>
            </w:pPr>
          </w:p>
        </w:tc>
      </w:tr>
      <w:tr w14:paraId="34CB9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253" w:type="pct"/>
            <w:vMerge w:val="continue"/>
          </w:tcPr>
          <w:p w14:paraId="3394B495">
            <w:pPr>
              <w:rPr>
                <w:rFonts w:hint="default"/>
                <w:vertAlign w:val="baseline"/>
                <w:lang w:val="en-US" w:eastAsia="zh-CN"/>
              </w:rPr>
            </w:pPr>
          </w:p>
        </w:tc>
        <w:tc>
          <w:tcPr>
            <w:tcW w:w="477" w:type="pct"/>
            <w:vMerge w:val="continue"/>
          </w:tcPr>
          <w:p w14:paraId="781F8C49">
            <w:pPr>
              <w:rPr>
                <w:rFonts w:hint="default"/>
                <w:vertAlign w:val="baseline"/>
                <w:lang w:val="en-US" w:eastAsia="zh-CN"/>
              </w:rPr>
            </w:pPr>
          </w:p>
        </w:tc>
        <w:tc>
          <w:tcPr>
            <w:tcW w:w="1701" w:type="pct"/>
            <w:vMerge w:val="continue"/>
          </w:tcPr>
          <w:p w14:paraId="3FF79778">
            <w:pPr>
              <w:rPr>
                <w:rFonts w:hint="default"/>
                <w:vertAlign w:val="baseline"/>
                <w:lang w:val="en-US" w:eastAsia="zh-CN"/>
              </w:rPr>
            </w:pPr>
          </w:p>
        </w:tc>
        <w:tc>
          <w:tcPr>
            <w:tcW w:w="1283" w:type="pct"/>
          </w:tcPr>
          <w:p w14:paraId="79D7761C">
            <w:pPr>
              <w:numPr>
                <w:ilvl w:val="0"/>
                <w:numId w:val="4"/>
              </w:numPr>
              <w:ind w:left="0" w:leftChars="0" w:firstLine="0" w:firstLineChars="0"/>
            </w:pPr>
            <w:r>
              <w:rPr>
                <w:rFonts w:hint="eastAsia"/>
                <w:lang w:val="en-US" w:eastAsia="zh-CN"/>
              </w:rPr>
              <w:t>严重</w:t>
            </w:r>
            <w:r>
              <w:t>违法行为的表现情形：单位应设未设职工住房公积金账</w:t>
            </w:r>
            <w:r>
              <w:rPr>
                <w:rFonts w:hint="eastAsia"/>
                <w:lang w:val="en-US" w:eastAsia="zh-CN"/>
              </w:rPr>
              <w:t>90</w:t>
            </w:r>
            <w:r>
              <w:t>个以上的。</w:t>
            </w:r>
          </w:p>
        </w:tc>
        <w:tc>
          <w:tcPr>
            <w:tcW w:w="424" w:type="pct"/>
            <w:shd w:val="clear" w:color="auto" w:fill="auto"/>
            <w:vAlign w:val="top"/>
          </w:tcPr>
          <w:p w14:paraId="414A47D3">
            <w:pP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从重处罚</w:t>
            </w:r>
          </w:p>
        </w:tc>
        <w:tc>
          <w:tcPr>
            <w:tcW w:w="859" w:type="pct"/>
            <w:shd w:val="clear" w:color="auto" w:fill="auto"/>
            <w:vAlign w:val="top"/>
          </w:tcPr>
          <w:p w14:paraId="52D4C2EC">
            <w:r>
              <w:t>处</w:t>
            </w:r>
            <w:r>
              <w:rPr>
                <w:rFonts w:hint="eastAsia"/>
                <w:lang w:val="en-US" w:eastAsia="zh-CN"/>
              </w:rPr>
              <w:t>4</w:t>
            </w:r>
            <w:r>
              <w:t>万元以上</w:t>
            </w:r>
            <w:r>
              <w:rPr>
                <w:rFonts w:hint="eastAsia"/>
                <w:lang w:val="en-US" w:eastAsia="zh-CN"/>
              </w:rPr>
              <w:t>5</w:t>
            </w:r>
            <w:r>
              <w:t>万元以下罚款。</w:t>
            </w:r>
          </w:p>
          <w:p w14:paraId="14C9441B">
            <w:pPr>
              <w:rPr>
                <w:rFonts w:hint="default" w:asciiTheme="minorHAnsi" w:hAnsiTheme="minorHAnsi" w:eastAsiaTheme="minorEastAsia" w:cstheme="minorBidi"/>
                <w:kern w:val="2"/>
                <w:sz w:val="21"/>
                <w:szCs w:val="24"/>
                <w:vertAlign w:val="baseline"/>
                <w:lang w:val="en-US" w:eastAsia="zh-CN" w:bidi="ar-SA"/>
              </w:rPr>
            </w:pPr>
          </w:p>
        </w:tc>
      </w:tr>
    </w:tbl>
    <w:p w14:paraId="487EA3E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大标宋简体" w:hAnsi="方正大标宋简体" w:eastAsia="方正大标宋简体" w:cs="方正大标宋简体"/>
          <w:b w:val="0"/>
          <w:bCs w:val="0"/>
          <w:color w:val="auto"/>
          <w:kern w:val="0"/>
          <w:sz w:val="44"/>
          <w:szCs w:val="44"/>
          <w:lang w:val="en-US" w:eastAsia="zh-CN" w:bidi="ar-SA"/>
        </w:rPr>
      </w:pPr>
      <w:r>
        <w:rPr>
          <w:rFonts w:hint="eastAsia" w:ascii="方正大标宋简体" w:hAnsi="方正大标宋简体" w:eastAsia="方正大标宋简体" w:cs="方正大标宋简体"/>
          <w:b w:val="0"/>
          <w:bCs w:val="0"/>
          <w:color w:val="auto"/>
          <w:kern w:val="0"/>
          <w:sz w:val="44"/>
          <w:szCs w:val="44"/>
          <w:lang w:val="en-US" w:eastAsia="zh-CN" w:bidi="ar-SA"/>
        </w:rPr>
        <w:t>邵阳市住房公积金管理中心行政执法事项目录</w:t>
      </w:r>
    </w:p>
    <w:p w14:paraId="3425D7A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大标宋简体" w:hAnsi="方正大标宋简体" w:eastAsia="方正大标宋简体" w:cs="方正大标宋简体"/>
          <w:b w:val="0"/>
          <w:bCs w:val="0"/>
          <w:color w:val="auto"/>
          <w:kern w:val="0"/>
          <w:sz w:val="44"/>
          <w:szCs w:val="44"/>
          <w:lang w:val="en-US" w:eastAsia="zh-CN" w:bidi="ar-SA"/>
        </w:rPr>
      </w:pPr>
    </w:p>
    <w:tbl>
      <w:tblPr>
        <w:tblStyle w:val="3"/>
        <w:tblW w:w="5075" w:type="pct"/>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2069"/>
        <w:gridCol w:w="1178"/>
        <w:gridCol w:w="1431"/>
        <w:gridCol w:w="1416"/>
        <w:gridCol w:w="6940"/>
        <w:gridCol w:w="843"/>
      </w:tblGrid>
      <w:tr w14:paraId="43485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77" w:type="pct"/>
          </w:tcPr>
          <w:p w14:paraId="0B15BB7E">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黑体" w:hAnsi="宋体" w:eastAsia="黑体" w:cs="黑体"/>
                <w:i w:val="0"/>
                <w:iCs w:val="0"/>
                <w:caps w:val="0"/>
                <w:color w:val="000000"/>
                <w:spacing w:val="0"/>
                <w:kern w:val="0"/>
                <w:sz w:val="24"/>
                <w:szCs w:val="24"/>
                <w:lang w:val="en-US" w:eastAsia="zh-CN" w:bidi="ar"/>
              </w:rPr>
            </w:pPr>
            <w:r>
              <w:rPr>
                <w:rFonts w:hint="eastAsia" w:ascii="黑体" w:hAnsi="宋体" w:eastAsia="黑体" w:cs="黑体"/>
                <w:i w:val="0"/>
                <w:iCs w:val="0"/>
                <w:caps w:val="0"/>
                <w:color w:val="000000"/>
                <w:spacing w:val="0"/>
                <w:kern w:val="0"/>
                <w:sz w:val="24"/>
                <w:szCs w:val="24"/>
                <w:lang w:val="en-US" w:eastAsia="zh-CN" w:bidi="ar"/>
              </w:rPr>
              <w:t>序号</w:t>
            </w:r>
          </w:p>
        </w:tc>
        <w:tc>
          <w:tcPr>
            <w:tcW w:w="719" w:type="pct"/>
          </w:tcPr>
          <w:p w14:paraId="30FB3BF1">
            <w:pPr>
              <w:jc w:val="center"/>
              <w:rPr>
                <w:rFonts w:hint="eastAsia" w:ascii="黑体" w:hAnsi="宋体" w:eastAsia="黑体" w:cs="黑体"/>
                <w:i w:val="0"/>
                <w:iCs w:val="0"/>
                <w:caps w:val="0"/>
                <w:color w:val="000000"/>
                <w:spacing w:val="0"/>
                <w:kern w:val="0"/>
                <w:sz w:val="24"/>
                <w:szCs w:val="24"/>
                <w:lang w:val="en-US" w:eastAsia="zh-CN" w:bidi="ar"/>
              </w:rPr>
            </w:pPr>
          </w:p>
          <w:p w14:paraId="28C304CB">
            <w:pPr>
              <w:jc w:val="center"/>
              <w:rPr>
                <w:rFonts w:hint="eastAsia" w:ascii="黑体" w:hAnsi="宋体" w:eastAsia="黑体" w:cs="黑体"/>
                <w:i w:val="0"/>
                <w:iCs w:val="0"/>
                <w:caps w:val="0"/>
                <w:color w:val="000000"/>
                <w:spacing w:val="0"/>
                <w:kern w:val="0"/>
                <w:sz w:val="24"/>
                <w:szCs w:val="24"/>
                <w:lang w:val="en-US" w:eastAsia="zh-CN" w:bidi="ar"/>
              </w:rPr>
            </w:pPr>
            <w:r>
              <w:rPr>
                <w:rFonts w:hint="eastAsia" w:ascii="黑体" w:hAnsi="宋体" w:eastAsia="黑体" w:cs="黑体"/>
                <w:i w:val="0"/>
                <w:iCs w:val="0"/>
                <w:caps w:val="0"/>
                <w:color w:val="000000"/>
                <w:spacing w:val="0"/>
                <w:kern w:val="0"/>
                <w:sz w:val="24"/>
                <w:szCs w:val="24"/>
                <w:lang w:val="en-US" w:eastAsia="zh-CN" w:bidi="ar"/>
              </w:rPr>
              <w:t>执法事项名称</w:t>
            </w:r>
          </w:p>
        </w:tc>
        <w:tc>
          <w:tcPr>
            <w:tcW w:w="409" w:type="pct"/>
          </w:tcPr>
          <w:p w14:paraId="7A20C6D5">
            <w:pPr>
              <w:jc w:val="center"/>
              <w:rPr>
                <w:rFonts w:hint="eastAsia" w:ascii="黑体" w:hAnsi="宋体" w:eastAsia="黑体" w:cs="黑体"/>
                <w:i w:val="0"/>
                <w:iCs w:val="0"/>
                <w:caps w:val="0"/>
                <w:color w:val="000000"/>
                <w:spacing w:val="0"/>
                <w:kern w:val="0"/>
                <w:sz w:val="24"/>
                <w:szCs w:val="24"/>
                <w:lang w:val="en-US" w:eastAsia="zh-CN" w:bidi="ar"/>
              </w:rPr>
            </w:pPr>
          </w:p>
          <w:p w14:paraId="6676E8E5">
            <w:pPr>
              <w:jc w:val="center"/>
              <w:rPr>
                <w:rFonts w:hint="eastAsia" w:ascii="黑体" w:hAnsi="宋体" w:eastAsia="黑体" w:cs="黑体"/>
                <w:i w:val="0"/>
                <w:iCs w:val="0"/>
                <w:caps w:val="0"/>
                <w:color w:val="000000"/>
                <w:spacing w:val="0"/>
                <w:kern w:val="0"/>
                <w:sz w:val="24"/>
                <w:szCs w:val="24"/>
                <w:lang w:val="en-US" w:eastAsia="zh-CN" w:bidi="ar"/>
              </w:rPr>
            </w:pPr>
            <w:r>
              <w:rPr>
                <w:rFonts w:hint="eastAsia" w:ascii="黑体" w:hAnsi="宋体" w:eastAsia="黑体" w:cs="黑体"/>
                <w:i w:val="0"/>
                <w:iCs w:val="0"/>
                <w:caps w:val="0"/>
                <w:color w:val="000000"/>
                <w:spacing w:val="0"/>
                <w:kern w:val="0"/>
                <w:sz w:val="24"/>
                <w:szCs w:val="24"/>
                <w:lang w:val="en-US" w:eastAsia="zh-CN" w:bidi="ar"/>
              </w:rPr>
              <w:t>执法类型</w:t>
            </w:r>
          </w:p>
        </w:tc>
        <w:tc>
          <w:tcPr>
            <w:tcW w:w="496" w:type="pct"/>
            <w:shd w:val="clear" w:color="auto" w:fill="auto"/>
            <w:vAlign w:val="top"/>
          </w:tcPr>
          <w:p w14:paraId="633DBEA3">
            <w:pPr>
              <w:jc w:val="center"/>
              <w:rPr>
                <w:rFonts w:hint="eastAsia" w:ascii="黑体" w:hAnsi="宋体" w:eastAsia="黑体" w:cs="黑体"/>
                <w:i w:val="0"/>
                <w:iCs w:val="0"/>
                <w:caps w:val="0"/>
                <w:color w:val="000000"/>
                <w:spacing w:val="0"/>
                <w:kern w:val="0"/>
                <w:sz w:val="24"/>
                <w:szCs w:val="24"/>
                <w:lang w:val="en-US" w:eastAsia="zh-CN" w:bidi="ar"/>
              </w:rPr>
            </w:pPr>
            <w:r>
              <w:rPr>
                <w:rFonts w:hint="eastAsia" w:ascii="黑体" w:hAnsi="宋体" w:eastAsia="黑体" w:cs="黑体"/>
                <w:i w:val="0"/>
                <w:iCs w:val="0"/>
                <w:caps w:val="0"/>
                <w:color w:val="000000"/>
                <w:spacing w:val="0"/>
                <w:kern w:val="0"/>
                <w:sz w:val="24"/>
                <w:szCs w:val="24"/>
                <w:lang w:val="en-US" w:eastAsia="zh-CN" w:bidi="ar"/>
              </w:rPr>
              <w:t>执法主体（实施层级）</w:t>
            </w:r>
          </w:p>
        </w:tc>
        <w:tc>
          <w:tcPr>
            <w:tcW w:w="492" w:type="pct"/>
            <w:shd w:val="clear" w:color="auto" w:fill="auto"/>
            <w:vAlign w:val="top"/>
          </w:tcPr>
          <w:p w14:paraId="3B9BAAB0">
            <w:pPr>
              <w:jc w:val="center"/>
              <w:rPr>
                <w:rFonts w:hint="eastAsia" w:ascii="黑体" w:hAnsi="宋体" w:eastAsia="黑体" w:cs="黑体"/>
                <w:i w:val="0"/>
                <w:iCs w:val="0"/>
                <w:caps w:val="0"/>
                <w:color w:val="000000"/>
                <w:spacing w:val="0"/>
                <w:kern w:val="0"/>
                <w:sz w:val="24"/>
                <w:szCs w:val="24"/>
                <w:lang w:val="en-US" w:eastAsia="zh-CN" w:bidi="ar"/>
              </w:rPr>
            </w:pPr>
          </w:p>
          <w:p w14:paraId="2EC84DE3">
            <w:pPr>
              <w:jc w:val="center"/>
              <w:rPr>
                <w:rFonts w:hint="eastAsia" w:ascii="黑体" w:hAnsi="宋体" w:eastAsia="黑体" w:cs="黑体"/>
                <w:i w:val="0"/>
                <w:iCs w:val="0"/>
                <w:caps w:val="0"/>
                <w:color w:val="000000"/>
                <w:spacing w:val="0"/>
                <w:kern w:val="0"/>
                <w:sz w:val="24"/>
                <w:szCs w:val="24"/>
                <w:lang w:val="en-US" w:eastAsia="zh-CN" w:bidi="ar"/>
              </w:rPr>
            </w:pPr>
            <w:r>
              <w:rPr>
                <w:rFonts w:hint="eastAsia" w:ascii="黑体" w:hAnsi="宋体" w:eastAsia="黑体" w:cs="黑体"/>
                <w:i w:val="0"/>
                <w:iCs w:val="0"/>
                <w:caps w:val="0"/>
                <w:color w:val="000000"/>
                <w:spacing w:val="0"/>
                <w:kern w:val="0"/>
                <w:sz w:val="24"/>
                <w:szCs w:val="24"/>
                <w:lang w:val="en-US" w:eastAsia="zh-CN" w:bidi="ar"/>
              </w:rPr>
              <w:t>承办机构</w:t>
            </w:r>
          </w:p>
        </w:tc>
        <w:tc>
          <w:tcPr>
            <w:tcW w:w="2411" w:type="pct"/>
          </w:tcPr>
          <w:p w14:paraId="3AA7D032">
            <w:pPr>
              <w:jc w:val="center"/>
              <w:rPr>
                <w:rFonts w:hint="eastAsia" w:ascii="黑体" w:hAnsi="宋体" w:eastAsia="黑体" w:cs="黑体"/>
                <w:i w:val="0"/>
                <w:iCs w:val="0"/>
                <w:caps w:val="0"/>
                <w:color w:val="000000"/>
                <w:spacing w:val="0"/>
                <w:kern w:val="0"/>
                <w:sz w:val="24"/>
                <w:szCs w:val="24"/>
                <w:lang w:val="en-US" w:eastAsia="zh-CN" w:bidi="ar"/>
              </w:rPr>
            </w:pPr>
          </w:p>
          <w:p w14:paraId="41E58176">
            <w:pPr>
              <w:jc w:val="center"/>
              <w:rPr>
                <w:rFonts w:hint="eastAsia" w:ascii="黑体" w:hAnsi="宋体" w:eastAsia="黑体" w:cs="黑体"/>
                <w:i w:val="0"/>
                <w:iCs w:val="0"/>
                <w:caps w:val="0"/>
                <w:color w:val="000000"/>
                <w:spacing w:val="0"/>
                <w:kern w:val="0"/>
                <w:sz w:val="24"/>
                <w:szCs w:val="24"/>
                <w:lang w:val="en-US" w:eastAsia="zh-CN" w:bidi="ar"/>
              </w:rPr>
            </w:pPr>
            <w:r>
              <w:rPr>
                <w:rFonts w:hint="eastAsia" w:ascii="黑体" w:hAnsi="宋体" w:eastAsia="黑体" w:cs="黑体"/>
                <w:i w:val="0"/>
                <w:iCs w:val="0"/>
                <w:caps w:val="0"/>
                <w:color w:val="000000"/>
                <w:spacing w:val="0"/>
                <w:kern w:val="0"/>
                <w:sz w:val="24"/>
                <w:szCs w:val="24"/>
                <w:lang w:val="en-US" w:eastAsia="zh-CN" w:bidi="ar"/>
              </w:rPr>
              <w:t>执法依据</w:t>
            </w:r>
          </w:p>
        </w:tc>
        <w:tc>
          <w:tcPr>
            <w:tcW w:w="293" w:type="pct"/>
          </w:tcPr>
          <w:p w14:paraId="2683B868">
            <w:pPr>
              <w:jc w:val="center"/>
              <w:rPr>
                <w:rFonts w:hint="eastAsia" w:ascii="黑体" w:hAnsi="宋体" w:eastAsia="黑体" w:cs="黑体"/>
                <w:i w:val="0"/>
                <w:iCs w:val="0"/>
                <w:caps w:val="0"/>
                <w:color w:val="000000"/>
                <w:spacing w:val="0"/>
                <w:kern w:val="0"/>
                <w:sz w:val="24"/>
                <w:szCs w:val="24"/>
                <w:lang w:val="en-US" w:eastAsia="zh-CN" w:bidi="ar"/>
              </w:rPr>
            </w:pPr>
          </w:p>
          <w:p w14:paraId="08E0AAFA">
            <w:pPr>
              <w:jc w:val="center"/>
              <w:rPr>
                <w:rFonts w:hint="eastAsia" w:ascii="黑体" w:hAnsi="宋体" w:eastAsia="黑体" w:cs="黑体"/>
                <w:i w:val="0"/>
                <w:iCs w:val="0"/>
                <w:caps w:val="0"/>
                <w:color w:val="000000"/>
                <w:spacing w:val="0"/>
                <w:kern w:val="0"/>
                <w:sz w:val="24"/>
                <w:szCs w:val="24"/>
                <w:lang w:val="en-US" w:eastAsia="zh-CN" w:bidi="ar"/>
              </w:rPr>
            </w:pPr>
            <w:r>
              <w:rPr>
                <w:rFonts w:hint="eastAsia" w:ascii="黑体" w:hAnsi="宋体" w:eastAsia="黑体" w:cs="黑体"/>
                <w:i w:val="0"/>
                <w:iCs w:val="0"/>
                <w:caps w:val="0"/>
                <w:color w:val="000000"/>
                <w:spacing w:val="0"/>
                <w:kern w:val="0"/>
                <w:sz w:val="24"/>
                <w:szCs w:val="24"/>
                <w:lang w:val="en-US" w:eastAsia="zh-CN" w:bidi="ar"/>
              </w:rPr>
              <w:t>备注</w:t>
            </w:r>
          </w:p>
        </w:tc>
      </w:tr>
      <w:tr w14:paraId="4D23E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177" w:type="pct"/>
          </w:tcPr>
          <w:p w14:paraId="5FDC878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vertAlign w:val="baseline"/>
                <w:lang w:val="en-US" w:eastAsia="zh-CN"/>
              </w:rPr>
            </w:pPr>
          </w:p>
          <w:p w14:paraId="3AA93ADF">
            <w:pPr>
              <w:jc w:val="center"/>
              <w:rPr>
                <w:rFonts w:hint="default"/>
                <w:sz w:val="32"/>
                <w:szCs w:val="32"/>
                <w:vertAlign w:val="baseline"/>
                <w:lang w:val="en-US" w:eastAsia="zh-CN"/>
              </w:rPr>
            </w:pPr>
            <w:r>
              <w:rPr>
                <w:rFonts w:hint="eastAsia"/>
                <w:sz w:val="32"/>
                <w:szCs w:val="32"/>
                <w:vertAlign w:val="baseline"/>
                <w:lang w:val="en-US" w:eastAsia="zh-CN"/>
              </w:rPr>
              <w:t>1</w:t>
            </w:r>
          </w:p>
        </w:tc>
        <w:tc>
          <w:tcPr>
            <w:tcW w:w="719" w:type="pct"/>
          </w:tcPr>
          <w:p w14:paraId="1D3B9F7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0"/>
                <w:szCs w:val="30"/>
                <w:lang w:val="en-US" w:eastAsia="zh-CN"/>
              </w:rPr>
            </w:pPr>
          </w:p>
          <w:p w14:paraId="3B0B19E6">
            <w:pPr>
              <w:numPr>
                <w:ilvl w:val="0"/>
                <w:numId w:val="0"/>
              </w:numPr>
              <w:ind w:leftChars="0"/>
              <w:rPr>
                <w:rFonts w:hint="eastAsia" w:ascii="仿宋_GB2312" w:hAnsi="仿宋_GB2312" w:eastAsia="仿宋_GB2312" w:cs="仿宋_GB2312"/>
                <w:sz w:val="30"/>
                <w:szCs w:val="30"/>
                <w:lang w:val="en-US" w:eastAsia="zh-CN"/>
              </w:rPr>
            </w:pPr>
            <w:r>
              <w:rPr>
                <w:rFonts w:hint="eastAsia"/>
                <w:lang w:val="en-US" w:eastAsia="zh-CN"/>
              </w:rPr>
              <w:t>单位不办理住房公积金缴存登记手续的</w:t>
            </w:r>
          </w:p>
        </w:tc>
        <w:tc>
          <w:tcPr>
            <w:tcW w:w="409" w:type="pct"/>
          </w:tcPr>
          <w:p w14:paraId="7C6EF11B">
            <w:pPr>
              <w:numPr>
                <w:ilvl w:val="0"/>
                <w:numId w:val="0"/>
              </w:numPr>
              <w:ind w:leftChars="0"/>
              <w:rPr>
                <w:rFonts w:hint="eastAsia"/>
                <w:lang w:val="en-US" w:eastAsia="zh-CN"/>
              </w:rPr>
            </w:pPr>
          </w:p>
          <w:p w14:paraId="7D2B3665">
            <w:pPr>
              <w:numPr>
                <w:ilvl w:val="0"/>
                <w:numId w:val="0"/>
              </w:numPr>
              <w:ind w:leftChars="0"/>
              <w:rPr>
                <w:rFonts w:hint="eastAsia"/>
                <w:lang w:val="en-US" w:eastAsia="zh-CN"/>
              </w:rPr>
            </w:pPr>
          </w:p>
          <w:p w14:paraId="5B80283C">
            <w:pPr>
              <w:numPr>
                <w:ilvl w:val="0"/>
                <w:numId w:val="0"/>
              </w:numPr>
              <w:ind w:leftChars="0"/>
              <w:rPr>
                <w:rFonts w:hint="eastAsia"/>
                <w:lang w:val="en-US" w:eastAsia="zh-CN"/>
              </w:rPr>
            </w:pPr>
            <w:r>
              <w:rPr>
                <w:rFonts w:hint="eastAsia"/>
                <w:lang w:val="en-US" w:eastAsia="zh-CN"/>
              </w:rPr>
              <w:t>行政处罚</w:t>
            </w:r>
          </w:p>
        </w:tc>
        <w:tc>
          <w:tcPr>
            <w:tcW w:w="496" w:type="pct"/>
            <w:shd w:val="clear" w:color="auto" w:fill="auto"/>
            <w:vAlign w:val="top"/>
          </w:tcPr>
          <w:p w14:paraId="1FDF1B6A">
            <w:pPr>
              <w:numPr>
                <w:ilvl w:val="0"/>
                <w:numId w:val="0"/>
              </w:numPr>
              <w:ind w:leftChars="0"/>
              <w:rPr>
                <w:rFonts w:hint="eastAsia"/>
                <w:lang w:val="en-US" w:eastAsia="zh-CN"/>
              </w:rPr>
            </w:pPr>
          </w:p>
          <w:p w14:paraId="78D06EB8">
            <w:pPr>
              <w:numPr>
                <w:ilvl w:val="0"/>
                <w:numId w:val="0"/>
              </w:numPr>
              <w:ind w:leftChars="0"/>
              <w:rPr>
                <w:rFonts w:hint="eastAsia"/>
                <w:lang w:val="en-US" w:eastAsia="zh-CN"/>
              </w:rPr>
            </w:pPr>
            <w:r>
              <w:rPr>
                <w:rFonts w:hint="eastAsia"/>
                <w:lang w:val="en-US" w:eastAsia="zh-CN"/>
              </w:rPr>
              <w:t>邵阳市住房公积金管理中心</w:t>
            </w:r>
          </w:p>
        </w:tc>
        <w:tc>
          <w:tcPr>
            <w:tcW w:w="492" w:type="pct"/>
            <w:shd w:val="clear" w:color="auto" w:fill="auto"/>
            <w:vAlign w:val="top"/>
          </w:tcPr>
          <w:p w14:paraId="7D5AE853">
            <w:pPr>
              <w:numPr>
                <w:ilvl w:val="0"/>
                <w:numId w:val="0"/>
              </w:numPr>
              <w:ind w:leftChars="0"/>
              <w:rPr>
                <w:rFonts w:hint="eastAsia"/>
                <w:lang w:val="en-US" w:eastAsia="zh-CN"/>
              </w:rPr>
            </w:pPr>
          </w:p>
          <w:p w14:paraId="05067DBD">
            <w:pPr>
              <w:numPr>
                <w:ilvl w:val="0"/>
                <w:numId w:val="0"/>
              </w:numPr>
              <w:ind w:leftChars="0"/>
              <w:rPr>
                <w:rFonts w:hint="eastAsia"/>
                <w:lang w:val="en-US" w:eastAsia="zh-CN"/>
              </w:rPr>
            </w:pPr>
          </w:p>
          <w:p w14:paraId="2D0DB699">
            <w:pPr>
              <w:numPr>
                <w:ilvl w:val="0"/>
                <w:numId w:val="0"/>
              </w:numPr>
              <w:ind w:leftChars="0"/>
              <w:rPr>
                <w:rFonts w:hint="eastAsia"/>
                <w:lang w:val="en-US" w:eastAsia="zh-CN"/>
              </w:rPr>
            </w:pPr>
            <w:r>
              <w:rPr>
                <w:rFonts w:hint="eastAsia"/>
                <w:lang w:val="en-US" w:eastAsia="zh-CN"/>
              </w:rPr>
              <w:t>各管理部</w:t>
            </w:r>
          </w:p>
        </w:tc>
        <w:tc>
          <w:tcPr>
            <w:tcW w:w="2411" w:type="pct"/>
          </w:tcPr>
          <w:p w14:paraId="78463DA9">
            <w:pPr>
              <w:numPr>
                <w:ilvl w:val="0"/>
                <w:numId w:val="0"/>
              </w:numPr>
              <w:ind w:leftChars="0"/>
              <w:rPr>
                <w:rFonts w:hint="default"/>
                <w:lang w:val="en-US" w:eastAsia="zh-CN"/>
              </w:rPr>
            </w:pPr>
            <w:r>
              <w:rPr>
                <w:rFonts w:hint="eastAsia"/>
                <w:lang w:val="en-US" w:eastAsia="zh-CN"/>
              </w:rPr>
              <w:t>《住房公积金管理条例》（中华人民共和国国务院令第350号，2002年3月24日施行）</w:t>
            </w:r>
          </w:p>
          <w:p w14:paraId="4A5ACD68">
            <w:pPr>
              <w:numPr>
                <w:ilvl w:val="0"/>
                <w:numId w:val="0"/>
              </w:numPr>
              <w:ind w:leftChars="0"/>
              <w:rPr>
                <w:rFonts w:hint="eastAsia" w:ascii="仿宋_GB2312" w:hAnsi="仿宋_GB2312" w:eastAsia="仿宋_GB2312" w:cs="仿宋_GB2312"/>
                <w:sz w:val="30"/>
                <w:szCs w:val="30"/>
                <w:lang w:val="en-US" w:eastAsia="zh-CN"/>
              </w:rPr>
            </w:pPr>
            <w:r>
              <w:rPr>
                <w:rFonts w:hint="eastAsia"/>
                <w:lang w:val="en-US" w:eastAsia="zh-CN"/>
              </w:rPr>
              <w:t>第三十七条： “单位不办理住房公积金缴存登记或者不为本单位职工办理住房公积金账户设立手续的，由住房公积金管理中心责令限期办理；逾期不办理的，处1万元以上5万元以下的罚款。</w:t>
            </w:r>
          </w:p>
        </w:tc>
        <w:tc>
          <w:tcPr>
            <w:tcW w:w="293" w:type="pct"/>
          </w:tcPr>
          <w:p w14:paraId="3A38037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40"/>
                <w:lang w:val="en-US" w:eastAsia="zh-CN"/>
              </w:rPr>
            </w:pPr>
          </w:p>
        </w:tc>
      </w:tr>
      <w:tr w14:paraId="4C8F1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3" w:hRule="atLeast"/>
        </w:trPr>
        <w:tc>
          <w:tcPr>
            <w:tcW w:w="177" w:type="pct"/>
          </w:tcPr>
          <w:p w14:paraId="3EACE87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sz w:val="32"/>
                <w:szCs w:val="32"/>
                <w:vertAlign w:val="baseline"/>
                <w:lang w:val="en-US" w:eastAsia="zh-CN"/>
              </w:rPr>
            </w:pPr>
          </w:p>
          <w:p w14:paraId="0B937B59">
            <w:pPr>
              <w:jc w:val="center"/>
              <w:rPr>
                <w:rFonts w:hint="default"/>
                <w:sz w:val="32"/>
                <w:szCs w:val="32"/>
                <w:vertAlign w:val="baseline"/>
                <w:lang w:val="en-US" w:eastAsia="zh-CN"/>
              </w:rPr>
            </w:pPr>
            <w:r>
              <w:rPr>
                <w:rFonts w:hint="eastAsia"/>
                <w:sz w:val="32"/>
                <w:szCs w:val="32"/>
                <w:vertAlign w:val="baseline"/>
                <w:lang w:val="en-US" w:eastAsia="zh-CN"/>
              </w:rPr>
              <w:t>2</w:t>
            </w:r>
          </w:p>
        </w:tc>
        <w:tc>
          <w:tcPr>
            <w:tcW w:w="719" w:type="pct"/>
          </w:tcPr>
          <w:p w14:paraId="605301B5">
            <w:pPr>
              <w:numPr>
                <w:ilvl w:val="0"/>
                <w:numId w:val="0"/>
              </w:numPr>
              <w:ind w:leftChars="0"/>
              <w:rPr>
                <w:rFonts w:hint="eastAsia"/>
                <w:lang w:val="en-US" w:eastAsia="zh-CN"/>
              </w:rPr>
            </w:pPr>
          </w:p>
          <w:p w14:paraId="2FFCF8FA">
            <w:pPr>
              <w:numPr>
                <w:ilvl w:val="0"/>
                <w:numId w:val="0"/>
              </w:numPr>
              <w:ind w:leftChars="0"/>
              <w:rPr>
                <w:rFonts w:hint="eastAsia"/>
                <w:lang w:val="en-US" w:eastAsia="zh-CN"/>
              </w:rPr>
            </w:pPr>
            <w:r>
              <w:rPr>
                <w:rFonts w:hint="eastAsia"/>
                <w:lang w:val="en-US" w:eastAsia="zh-CN"/>
              </w:rPr>
              <w:t>不为本单位职工办理住房公积金账户设立手续的</w:t>
            </w:r>
          </w:p>
        </w:tc>
        <w:tc>
          <w:tcPr>
            <w:tcW w:w="409" w:type="pct"/>
          </w:tcPr>
          <w:p w14:paraId="62D07494">
            <w:pPr>
              <w:numPr>
                <w:ilvl w:val="0"/>
                <w:numId w:val="0"/>
              </w:numPr>
              <w:ind w:leftChars="0"/>
              <w:rPr>
                <w:rFonts w:hint="eastAsia"/>
                <w:lang w:val="en-US" w:eastAsia="zh-CN"/>
              </w:rPr>
            </w:pPr>
          </w:p>
          <w:p w14:paraId="3D43FC01">
            <w:pPr>
              <w:numPr>
                <w:ilvl w:val="0"/>
                <w:numId w:val="0"/>
              </w:numPr>
              <w:ind w:leftChars="0"/>
              <w:rPr>
                <w:rFonts w:hint="eastAsia"/>
                <w:lang w:val="en-US" w:eastAsia="zh-CN"/>
              </w:rPr>
            </w:pPr>
          </w:p>
          <w:p w14:paraId="638E1071">
            <w:pPr>
              <w:numPr>
                <w:ilvl w:val="0"/>
                <w:numId w:val="0"/>
              </w:numPr>
              <w:ind w:leftChars="0"/>
              <w:rPr>
                <w:rFonts w:hint="eastAsia"/>
                <w:lang w:val="en-US" w:eastAsia="zh-CN"/>
              </w:rPr>
            </w:pPr>
            <w:r>
              <w:rPr>
                <w:rFonts w:hint="eastAsia"/>
                <w:lang w:val="en-US" w:eastAsia="zh-CN"/>
              </w:rPr>
              <w:t>行政处罚</w:t>
            </w:r>
          </w:p>
        </w:tc>
        <w:tc>
          <w:tcPr>
            <w:tcW w:w="496" w:type="pct"/>
            <w:shd w:val="clear" w:color="auto" w:fill="auto"/>
            <w:vAlign w:val="top"/>
          </w:tcPr>
          <w:p w14:paraId="7F445E8B">
            <w:pPr>
              <w:numPr>
                <w:ilvl w:val="0"/>
                <w:numId w:val="0"/>
              </w:numPr>
              <w:ind w:leftChars="0"/>
              <w:rPr>
                <w:rFonts w:hint="eastAsia"/>
                <w:lang w:val="en-US" w:eastAsia="zh-CN"/>
              </w:rPr>
            </w:pPr>
          </w:p>
          <w:p w14:paraId="4B78C250">
            <w:pPr>
              <w:numPr>
                <w:ilvl w:val="0"/>
                <w:numId w:val="0"/>
              </w:numPr>
              <w:ind w:leftChars="0"/>
              <w:rPr>
                <w:rFonts w:hint="eastAsia"/>
                <w:lang w:val="en-US" w:eastAsia="zh-CN"/>
              </w:rPr>
            </w:pPr>
            <w:r>
              <w:rPr>
                <w:rFonts w:hint="eastAsia"/>
                <w:lang w:val="en-US" w:eastAsia="zh-CN"/>
              </w:rPr>
              <w:t>邵阳市住房公积金管理中心</w:t>
            </w:r>
          </w:p>
        </w:tc>
        <w:tc>
          <w:tcPr>
            <w:tcW w:w="492" w:type="pct"/>
            <w:shd w:val="clear" w:color="auto" w:fill="auto"/>
            <w:vAlign w:val="top"/>
          </w:tcPr>
          <w:p w14:paraId="425DF3AB">
            <w:pPr>
              <w:numPr>
                <w:ilvl w:val="0"/>
                <w:numId w:val="0"/>
              </w:numPr>
              <w:ind w:leftChars="0"/>
              <w:rPr>
                <w:rFonts w:hint="eastAsia"/>
                <w:lang w:val="en-US" w:eastAsia="zh-CN"/>
              </w:rPr>
            </w:pPr>
          </w:p>
          <w:p w14:paraId="73B4B538">
            <w:pPr>
              <w:numPr>
                <w:ilvl w:val="0"/>
                <w:numId w:val="0"/>
              </w:numPr>
              <w:ind w:leftChars="0"/>
              <w:rPr>
                <w:rFonts w:hint="eastAsia"/>
                <w:lang w:val="en-US" w:eastAsia="zh-CN"/>
              </w:rPr>
            </w:pPr>
          </w:p>
          <w:p w14:paraId="71AD33D7">
            <w:pPr>
              <w:numPr>
                <w:ilvl w:val="0"/>
                <w:numId w:val="0"/>
              </w:numPr>
              <w:ind w:leftChars="0"/>
              <w:rPr>
                <w:rFonts w:hint="eastAsia"/>
                <w:lang w:val="en-US" w:eastAsia="zh-CN"/>
              </w:rPr>
            </w:pPr>
            <w:r>
              <w:rPr>
                <w:rFonts w:hint="eastAsia"/>
                <w:lang w:val="en-US" w:eastAsia="zh-CN"/>
              </w:rPr>
              <w:t>各管理部</w:t>
            </w:r>
          </w:p>
        </w:tc>
        <w:tc>
          <w:tcPr>
            <w:tcW w:w="2411" w:type="pct"/>
          </w:tcPr>
          <w:p w14:paraId="6044B928">
            <w:pPr>
              <w:numPr>
                <w:ilvl w:val="0"/>
                <w:numId w:val="0"/>
              </w:numPr>
              <w:ind w:leftChars="0"/>
              <w:rPr>
                <w:rFonts w:hint="default"/>
                <w:lang w:val="en-US" w:eastAsia="zh-CN"/>
              </w:rPr>
            </w:pPr>
            <w:r>
              <w:rPr>
                <w:rFonts w:hint="eastAsia"/>
                <w:lang w:val="en-US" w:eastAsia="zh-CN"/>
              </w:rPr>
              <w:t>《住房公积金管理条例》（中华人民共和国国务院令第350号，2002年3月24日施行）</w:t>
            </w:r>
          </w:p>
          <w:p w14:paraId="1CF3C60C">
            <w:pPr>
              <w:numPr>
                <w:ilvl w:val="0"/>
                <w:numId w:val="0"/>
              </w:numPr>
              <w:ind w:leftChars="0"/>
              <w:rPr>
                <w:rFonts w:hint="eastAsia" w:ascii="仿宋_GB2312" w:hAnsi="仿宋_GB2312" w:eastAsia="仿宋_GB2312" w:cs="仿宋_GB2312"/>
                <w:sz w:val="30"/>
                <w:szCs w:val="30"/>
                <w:lang w:val="en-US" w:eastAsia="zh-CN"/>
              </w:rPr>
            </w:pPr>
            <w:r>
              <w:rPr>
                <w:rFonts w:hint="eastAsia"/>
                <w:lang w:val="en-US" w:eastAsia="zh-CN"/>
              </w:rPr>
              <w:t>第三十七条：“单位不办理住房公积金缴存登记或者不为本单位职工办理住房公积金账户设立手续的，由住房公积金管理中心责令限期办理；逾期不办理的，处1万元以上5万元以下的罚款。</w:t>
            </w:r>
          </w:p>
        </w:tc>
        <w:tc>
          <w:tcPr>
            <w:tcW w:w="293" w:type="pct"/>
          </w:tcPr>
          <w:p w14:paraId="382D4E8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40"/>
                <w:lang w:val="en-US" w:eastAsia="zh-CN"/>
              </w:rPr>
            </w:pPr>
          </w:p>
        </w:tc>
      </w:tr>
      <w:tr w14:paraId="1AE06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rPr>
        <w:tc>
          <w:tcPr>
            <w:tcW w:w="177" w:type="pct"/>
          </w:tcPr>
          <w:p w14:paraId="31F1C8B7">
            <w:pPr>
              <w:jc w:val="center"/>
              <w:rPr>
                <w:rFonts w:hint="eastAsia"/>
                <w:sz w:val="32"/>
                <w:szCs w:val="32"/>
                <w:vertAlign w:val="baseline"/>
                <w:lang w:val="en-US" w:eastAsia="zh-CN"/>
              </w:rPr>
            </w:pPr>
          </w:p>
          <w:p w14:paraId="5C7040B2">
            <w:pPr>
              <w:jc w:val="center"/>
              <w:rPr>
                <w:rFonts w:hint="default"/>
                <w:sz w:val="32"/>
                <w:szCs w:val="32"/>
                <w:vertAlign w:val="baseline"/>
                <w:lang w:val="en-US" w:eastAsia="zh-CN"/>
              </w:rPr>
            </w:pPr>
            <w:r>
              <w:rPr>
                <w:rFonts w:hint="eastAsia"/>
                <w:sz w:val="32"/>
                <w:szCs w:val="32"/>
                <w:vertAlign w:val="baseline"/>
                <w:lang w:val="en-US" w:eastAsia="zh-CN"/>
              </w:rPr>
              <w:t>3</w:t>
            </w:r>
          </w:p>
        </w:tc>
        <w:tc>
          <w:tcPr>
            <w:tcW w:w="719" w:type="pct"/>
          </w:tcPr>
          <w:p w14:paraId="639F078E">
            <w:pPr>
              <w:numPr>
                <w:ilvl w:val="0"/>
                <w:numId w:val="0"/>
              </w:numPr>
              <w:ind w:leftChars="0"/>
              <w:rPr>
                <w:rFonts w:hint="eastAsia"/>
                <w:lang w:val="en-US" w:eastAsia="zh-CN"/>
              </w:rPr>
            </w:pPr>
          </w:p>
          <w:p w14:paraId="038D3F80">
            <w:pPr>
              <w:numPr>
                <w:ilvl w:val="0"/>
                <w:numId w:val="0"/>
              </w:numPr>
              <w:ind w:leftChars="0"/>
              <w:rPr>
                <w:rFonts w:hint="eastAsia"/>
                <w:lang w:val="en-US" w:eastAsia="zh-CN"/>
              </w:rPr>
            </w:pPr>
          </w:p>
          <w:p w14:paraId="3DBA9A4F">
            <w:pPr>
              <w:numPr>
                <w:ilvl w:val="0"/>
                <w:numId w:val="0"/>
              </w:numPr>
              <w:ind w:leftChars="0"/>
              <w:rPr>
                <w:rFonts w:hint="eastAsia"/>
                <w:lang w:val="en-US" w:eastAsia="zh-CN"/>
              </w:rPr>
            </w:pPr>
            <w:r>
              <w:rPr>
                <w:rFonts w:hint="eastAsia"/>
                <w:lang w:val="en-US" w:eastAsia="zh-CN"/>
              </w:rPr>
              <w:t>单位逾期不缴或者少缴住房公积金的</w:t>
            </w:r>
          </w:p>
        </w:tc>
        <w:tc>
          <w:tcPr>
            <w:tcW w:w="409" w:type="pct"/>
          </w:tcPr>
          <w:p w14:paraId="5B93048D">
            <w:pPr>
              <w:numPr>
                <w:ilvl w:val="0"/>
                <w:numId w:val="0"/>
              </w:numPr>
              <w:ind w:leftChars="0"/>
              <w:rPr>
                <w:rFonts w:hint="eastAsia"/>
                <w:lang w:val="en-US" w:eastAsia="zh-CN"/>
              </w:rPr>
            </w:pPr>
          </w:p>
          <w:p w14:paraId="79011BA9">
            <w:pPr>
              <w:numPr>
                <w:ilvl w:val="0"/>
                <w:numId w:val="0"/>
              </w:numPr>
              <w:ind w:leftChars="0"/>
              <w:rPr>
                <w:rFonts w:hint="eastAsia"/>
                <w:lang w:val="en-US" w:eastAsia="zh-CN"/>
              </w:rPr>
            </w:pPr>
          </w:p>
          <w:p w14:paraId="271E0A3B">
            <w:pPr>
              <w:numPr>
                <w:ilvl w:val="0"/>
                <w:numId w:val="0"/>
              </w:numPr>
              <w:ind w:leftChars="0"/>
              <w:rPr>
                <w:rFonts w:hint="eastAsia"/>
                <w:lang w:val="en-US" w:eastAsia="zh-CN"/>
              </w:rPr>
            </w:pPr>
            <w:r>
              <w:rPr>
                <w:rFonts w:hint="eastAsia"/>
                <w:lang w:val="en-US" w:eastAsia="zh-CN"/>
              </w:rPr>
              <w:t>行政处理</w:t>
            </w:r>
          </w:p>
        </w:tc>
        <w:tc>
          <w:tcPr>
            <w:tcW w:w="496" w:type="pct"/>
            <w:shd w:val="clear" w:color="auto" w:fill="auto"/>
            <w:vAlign w:val="top"/>
          </w:tcPr>
          <w:p w14:paraId="52221181">
            <w:pPr>
              <w:numPr>
                <w:ilvl w:val="0"/>
                <w:numId w:val="0"/>
              </w:numPr>
              <w:ind w:leftChars="0"/>
              <w:rPr>
                <w:rFonts w:hint="eastAsia"/>
                <w:lang w:val="en-US" w:eastAsia="zh-CN"/>
              </w:rPr>
            </w:pPr>
          </w:p>
          <w:p w14:paraId="47CA720B">
            <w:pPr>
              <w:numPr>
                <w:ilvl w:val="0"/>
                <w:numId w:val="0"/>
              </w:numPr>
              <w:ind w:leftChars="0"/>
              <w:rPr>
                <w:rFonts w:hint="eastAsia"/>
                <w:lang w:val="en-US" w:eastAsia="zh-CN"/>
              </w:rPr>
            </w:pPr>
            <w:r>
              <w:rPr>
                <w:rFonts w:hint="eastAsia"/>
                <w:lang w:val="en-US" w:eastAsia="zh-CN"/>
              </w:rPr>
              <w:t>邵阳市住房公积金管理中心</w:t>
            </w:r>
          </w:p>
        </w:tc>
        <w:tc>
          <w:tcPr>
            <w:tcW w:w="492" w:type="pct"/>
            <w:shd w:val="clear" w:color="auto" w:fill="auto"/>
            <w:vAlign w:val="top"/>
          </w:tcPr>
          <w:p w14:paraId="18211E06">
            <w:pPr>
              <w:numPr>
                <w:ilvl w:val="0"/>
                <w:numId w:val="0"/>
              </w:numPr>
              <w:ind w:leftChars="0"/>
              <w:rPr>
                <w:rFonts w:hint="eastAsia"/>
                <w:lang w:val="en-US" w:eastAsia="zh-CN"/>
              </w:rPr>
            </w:pPr>
          </w:p>
          <w:p w14:paraId="47046661">
            <w:pPr>
              <w:numPr>
                <w:ilvl w:val="0"/>
                <w:numId w:val="0"/>
              </w:numPr>
              <w:ind w:leftChars="0"/>
              <w:rPr>
                <w:rFonts w:hint="eastAsia"/>
                <w:lang w:val="en-US" w:eastAsia="zh-CN"/>
              </w:rPr>
            </w:pPr>
          </w:p>
          <w:p w14:paraId="2CBD2159">
            <w:pPr>
              <w:numPr>
                <w:ilvl w:val="0"/>
                <w:numId w:val="0"/>
              </w:numPr>
              <w:ind w:leftChars="0"/>
              <w:rPr>
                <w:rFonts w:hint="eastAsia"/>
                <w:lang w:val="en-US" w:eastAsia="zh-CN"/>
              </w:rPr>
            </w:pPr>
            <w:r>
              <w:rPr>
                <w:rFonts w:hint="eastAsia"/>
                <w:lang w:val="en-US" w:eastAsia="zh-CN"/>
              </w:rPr>
              <w:t>各管理部</w:t>
            </w:r>
          </w:p>
        </w:tc>
        <w:tc>
          <w:tcPr>
            <w:tcW w:w="2411" w:type="pct"/>
          </w:tcPr>
          <w:p w14:paraId="5945BC36">
            <w:pPr>
              <w:numPr>
                <w:ilvl w:val="0"/>
                <w:numId w:val="0"/>
              </w:numPr>
              <w:ind w:leftChars="0"/>
              <w:rPr>
                <w:rFonts w:hint="default"/>
                <w:lang w:val="en-US" w:eastAsia="zh-CN"/>
              </w:rPr>
            </w:pPr>
            <w:r>
              <w:rPr>
                <w:rFonts w:hint="eastAsia"/>
                <w:lang w:val="en-US" w:eastAsia="zh-CN"/>
              </w:rPr>
              <w:t>《住房公积金管理条例》（中华人民共和国国务院令第350号，2002年3月24日施行）</w:t>
            </w:r>
          </w:p>
          <w:p w14:paraId="76EAEE59">
            <w:pPr>
              <w:numPr>
                <w:ilvl w:val="0"/>
                <w:numId w:val="0"/>
              </w:numPr>
              <w:ind w:leftChars="0"/>
              <w:rPr>
                <w:rFonts w:hint="eastAsia" w:ascii="仿宋_GB2312" w:hAnsi="仿宋_GB2312" w:eastAsia="仿宋_GB2312" w:cs="仿宋_GB2312"/>
                <w:sz w:val="30"/>
                <w:szCs w:val="30"/>
                <w:lang w:val="en-US" w:eastAsia="zh-CN"/>
              </w:rPr>
            </w:pPr>
            <w:r>
              <w:rPr>
                <w:rFonts w:hint="eastAsia"/>
                <w:lang w:val="en-US" w:eastAsia="zh-CN"/>
              </w:rPr>
              <w:t>第三十八条  违反本条例的规定，单位逾期不缴或者少缴住房公积金的，由住房公积金管理中心责令限期缴存；逾期仍不缴存的，可以申请人民法院强制执行。</w:t>
            </w:r>
          </w:p>
        </w:tc>
        <w:tc>
          <w:tcPr>
            <w:tcW w:w="293" w:type="pct"/>
          </w:tcPr>
          <w:p w14:paraId="2424169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2"/>
                <w:szCs w:val="40"/>
                <w:lang w:val="en-US" w:eastAsia="zh-CN"/>
              </w:rPr>
            </w:pPr>
          </w:p>
        </w:tc>
      </w:tr>
    </w:tbl>
    <w:p w14:paraId="7F0E803C">
      <w:pPr>
        <w:widowControl w:val="0"/>
        <w:wordWrap/>
        <w:adjustRightInd/>
        <w:snapToGrid/>
        <w:spacing w:line="560" w:lineRule="exact"/>
        <w:jc w:val="center"/>
        <w:textAlignment w:val="auto"/>
        <w:rPr>
          <w:rFonts w:hint="eastAsia" w:ascii="方正大标宋简体" w:hAnsi="Times New Roman" w:eastAsia="方正大标宋简体" w:cs="Times New Roman"/>
          <w:sz w:val="44"/>
          <w:szCs w:val="44"/>
          <w:lang w:val="en-US" w:eastAsia="zh-CN"/>
        </w:rPr>
      </w:pPr>
    </w:p>
    <w:p w14:paraId="6564CD75">
      <w:pPr>
        <w:widowControl w:val="0"/>
        <w:wordWrap/>
        <w:adjustRightInd/>
        <w:snapToGrid/>
        <w:spacing w:line="560" w:lineRule="exact"/>
        <w:jc w:val="center"/>
        <w:textAlignment w:val="auto"/>
        <w:rPr>
          <w:rFonts w:hint="eastAsia" w:ascii="方正大标宋简体" w:hAnsi="Times New Roman" w:eastAsia="方正大标宋简体" w:cs="Times New Roman"/>
          <w:sz w:val="44"/>
          <w:szCs w:val="44"/>
          <w:lang w:val="en-US" w:eastAsia="zh-CN"/>
        </w:rPr>
      </w:pPr>
    </w:p>
    <w:p w14:paraId="21BE3B98">
      <w:pPr>
        <w:widowControl w:val="0"/>
        <w:wordWrap/>
        <w:adjustRightInd/>
        <w:snapToGrid/>
        <w:spacing w:line="560" w:lineRule="exact"/>
        <w:jc w:val="center"/>
        <w:textAlignment w:val="auto"/>
        <w:rPr>
          <w:rFonts w:hint="default" w:ascii="方正大标宋简体" w:hAnsi="Times New Roman" w:eastAsia="方正大标宋简体" w:cs="Times New Roman"/>
          <w:sz w:val="44"/>
          <w:szCs w:val="44"/>
          <w:lang w:val="en-US" w:eastAsia="zh-CN"/>
        </w:rPr>
      </w:pPr>
      <w:r>
        <w:rPr>
          <w:rFonts w:hint="eastAsia" w:ascii="方正大标宋简体" w:hAnsi="Times New Roman" w:eastAsia="方正大标宋简体" w:cs="Times New Roman"/>
          <w:sz w:val="44"/>
          <w:szCs w:val="44"/>
          <w:lang w:val="en-US" w:eastAsia="zh-CN"/>
        </w:rPr>
        <w:t>邵阳市住房公积金管理中心免于行政处罚事项清单</w:t>
      </w:r>
    </w:p>
    <w:tbl>
      <w:tblPr>
        <w:tblStyle w:val="3"/>
        <w:tblpPr w:leftFromText="180" w:rightFromText="180" w:vertAnchor="text" w:horzAnchor="page" w:tblpX="1491" w:tblpY="336"/>
        <w:tblOverlap w:val="never"/>
        <w:tblW w:w="501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1337"/>
        <w:gridCol w:w="5294"/>
        <w:gridCol w:w="3542"/>
        <w:gridCol w:w="3342"/>
      </w:tblGrid>
      <w:tr w14:paraId="29953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47" w:type="pct"/>
          </w:tcPr>
          <w:p w14:paraId="3D36924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宋体" w:eastAsia="黑体" w:cs="黑体"/>
                <w:i w:val="0"/>
                <w:iCs w:val="0"/>
                <w:caps w:val="0"/>
                <w:color w:val="000000"/>
                <w:spacing w:val="0"/>
                <w:kern w:val="0"/>
                <w:sz w:val="24"/>
                <w:szCs w:val="24"/>
                <w:lang w:val="en-US" w:eastAsia="zh-CN" w:bidi="ar"/>
              </w:rPr>
            </w:pPr>
            <w:r>
              <w:rPr>
                <w:rFonts w:hint="eastAsia" w:ascii="黑体" w:hAnsi="宋体" w:eastAsia="黑体" w:cs="黑体"/>
                <w:i w:val="0"/>
                <w:iCs w:val="0"/>
                <w:caps w:val="0"/>
                <w:color w:val="000000"/>
                <w:spacing w:val="0"/>
                <w:kern w:val="0"/>
                <w:sz w:val="24"/>
                <w:szCs w:val="24"/>
                <w:lang w:val="en-US" w:eastAsia="zh-CN" w:bidi="ar"/>
              </w:rPr>
              <w:t>序</w:t>
            </w:r>
          </w:p>
          <w:p w14:paraId="5E14CAC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黑体" w:hAnsi="宋体" w:eastAsia="黑体" w:cs="黑体"/>
                <w:i w:val="0"/>
                <w:iCs w:val="0"/>
                <w:caps w:val="0"/>
                <w:color w:val="000000"/>
                <w:spacing w:val="0"/>
                <w:kern w:val="0"/>
                <w:sz w:val="24"/>
                <w:szCs w:val="24"/>
                <w:lang w:val="en-US" w:eastAsia="zh-CN" w:bidi="ar"/>
              </w:rPr>
            </w:pPr>
            <w:r>
              <w:rPr>
                <w:rFonts w:hint="eastAsia" w:ascii="黑体" w:hAnsi="宋体" w:eastAsia="黑体" w:cs="黑体"/>
                <w:i w:val="0"/>
                <w:iCs w:val="0"/>
                <w:caps w:val="0"/>
                <w:color w:val="000000"/>
                <w:spacing w:val="0"/>
                <w:kern w:val="0"/>
                <w:sz w:val="24"/>
                <w:szCs w:val="24"/>
                <w:lang w:val="en-US" w:eastAsia="zh-CN" w:bidi="ar"/>
              </w:rPr>
              <w:t>号</w:t>
            </w:r>
          </w:p>
        </w:tc>
        <w:tc>
          <w:tcPr>
            <w:tcW w:w="470" w:type="pct"/>
            <w:shd w:val="clear" w:color="auto" w:fill="auto"/>
            <w:vAlign w:val="top"/>
          </w:tcPr>
          <w:p w14:paraId="67429C78">
            <w:pPr>
              <w:jc w:val="center"/>
              <w:rPr>
                <w:rFonts w:hint="eastAsia" w:ascii="黑体" w:hAnsi="宋体" w:eastAsia="黑体" w:cs="黑体"/>
                <w:i w:val="0"/>
                <w:iCs w:val="0"/>
                <w:caps w:val="0"/>
                <w:color w:val="000000"/>
                <w:spacing w:val="0"/>
                <w:kern w:val="0"/>
                <w:sz w:val="24"/>
                <w:szCs w:val="24"/>
                <w:lang w:val="en-US" w:eastAsia="zh-CN" w:bidi="ar"/>
              </w:rPr>
            </w:pPr>
          </w:p>
          <w:p w14:paraId="71FF7EEB">
            <w:pPr>
              <w:jc w:val="center"/>
              <w:rPr>
                <w:rFonts w:hint="eastAsia" w:ascii="黑体" w:hAnsi="宋体" w:eastAsia="黑体" w:cs="黑体"/>
                <w:i w:val="0"/>
                <w:iCs w:val="0"/>
                <w:caps w:val="0"/>
                <w:color w:val="000000"/>
                <w:spacing w:val="0"/>
                <w:kern w:val="0"/>
                <w:sz w:val="24"/>
                <w:szCs w:val="24"/>
                <w:lang w:val="en-US" w:eastAsia="zh-CN" w:bidi="ar"/>
              </w:rPr>
            </w:pPr>
            <w:r>
              <w:rPr>
                <w:rFonts w:hint="eastAsia" w:ascii="黑体" w:hAnsi="宋体" w:eastAsia="黑体" w:cs="黑体"/>
                <w:i w:val="0"/>
                <w:iCs w:val="0"/>
                <w:caps w:val="0"/>
                <w:color w:val="000000"/>
                <w:spacing w:val="0"/>
                <w:kern w:val="0"/>
                <w:sz w:val="24"/>
                <w:szCs w:val="24"/>
                <w:lang w:val="en-US" w:eastAsia="zh-CN" w:bidi="ar"/>
              </w:rPr>
              <w:t>违法行为</w:t>
            </w:r>
          </w:p>
        </w:tc>
        <w:tc>
          <w:tcPr>
            <w:tcW w:w="1861" w:type="pct"/>
          </w:tcPr>
          <w:p w14:paraId="39467417">
            <w:pPr>
              <w:jc w:val="center"/>
              <w:rPr>
                <w:rFonts w:hint="eastAsia" w:ascii="黑体" w:hAnsi="宋体" w:eastAsia="黑体" w:cs="黑体"/>
                <w:i w:val="0"/>
                <w:iCs w:val="0"/>
                <w:caps w:val="0"/>
                <w:color w:val="000000"/>
                <w:spacing w:val="0"/>
                <w:kern w:val="0"/>
                <w:sz w:val="24"/>
                <w:szCs w:val="24"/>
                <w:lang w:val="en-US" w:eastAsia="zh-CN" w:bidi="ar"/>
              </w:rPr>
            </w:pPr>
          </w:p>
          <w:p w14:paraId="61D4C332">
            <w:pPr>
              <w:jc w:val="center"/>
              <w:rPr>
                <w:rFonts w:hint="default" w:ascii="黑体" w:hAnsi="宋体" w:eastAsia="黑体" w:cs="黑体"/>
                <w:i w:val="0"/>
                <w:iCs w:val="0"/>
                <w:caps w:val="0"/>
                <w:color w:val="000000"/>
                <w:spacing w:val="0"/>
                <w:kern w:val="0"/>
                <w:sz w:val="24"/>
                <w:szCs w:val="24"/>
                <w:lang w:val="en-US" w:eastAsia="zh-CN" w:bidi="ar"/>
              </w:rPr>
            </w:pPr>
            <w:r>
              <w:rPr>
                <w:rFonts w:hint="eastAsia" w:ascii="黑体" w:hAnsi="宋体" w:eastAsia="黑体" w:cs="黑体"/>
                <w:i w:val="0"/>
                <w:iCs w:val="0"/>
                <w:caps w:val="0"/>
                <w:color w:val="000000"/>
                <w:spacing w:val="0"/>
                <w:kern w:val="0"/>
                <w:sz w:val="24"/>
                <w:szCs w:val="24"/>
                <w:lang w:val="en-US" w:eastAsia="zh-CN" w:bidi="ar"/>
              </w:rPr>
              <w:t>处罚依据</w:t>
            </w:r>
          </w:p>
        </w:tc>
        <w:tc>
          <w:tcPr>
            <w:tcW w:w="1245" w:type="pct"/>
          </w:tcPr>
          <w:p w14:paraId="375971D4">
            <w:pPr>
              <w:jc w:val="center"/>
              <w:rPr>
                <w:rFonts w:hint="eastAsia" w:ascii="黑体" w:hAnsi="宋体" w:eastAsia="黑体" w:cs="黑体"/>
                <w:i w:val="0"/>
                <w:iCs w:val="0"/>
                <w:caps w:val="0"/>
                <w:color w:val="000000"/>
                <w:spacing w:val="0"/>
                <w:kern w:val="0"/>
                <w:sz w:val="24"/>
                <w:szCs w:val="24"/>
                <w:lang w:val="en-US" w:eastAsia="zh-CN" w:bidi="ar"/>
              </w:rPr>
            </w:pPr>
          </w:p>
          <w:p w14:paraId="69CAF4B0">
            <w:pPr>
              <w:jc w:val="center"/>
              <w:rPr>
                <w:rFonts w:hint="default" w:ascii="黑体" w:hAnsi="宋体" w:eastAsia="黑体" w:cs="黑体"/>
                <w:i w:val="0"/>
                <w:iCs w:val="0"/>
                <w:caps w:val="0"/>
                <w:color w:val="000000"/>
                <w:spacing w:val="0"/>
                <w:kern w:val="0"/>
                <w:sz w:val="24"/>
                <w:szCs w:val="24"/>
                <w:lang w:val="en-US" w:eastAsia="zh-CN" w:bidi="ar"/>
              </w:rPr>
            </w:pPr>
            <w:r>
              <w:rPr>
                <w:rFonts w:hint="eastAsia" w:ascii="黑体" w:hAnsi="宋体" w:eastAsia="黑体" w:cs="黑体"/>
                <w:i w:val="0"/>
                <w:iCs w:val="0"/>
                <w:caps w:val="0"/>
                <w:color w:val="000000"/>
                <w:spacing w:val="0"/>
                <w:kern w:val="0"/>
                <w:sz w:val="24"/>
                <w:szCs w:val="24"/>
                <w:lang w:val="en-US" w:eastAsia="zh-CN" w:bidi="ar"/>
              </w:rPr>
              <w:t>适用条件</w:t>
            </w:r>
          </w:p>
        </w:tc>
        <w:tc>
          <w:tcPr>
            <w:tcW w:w="1175" w:type="pct"/>
          </w:tcPr>
          <w:p w14:paraId="05ADDE71">
            <w:pPr>
              <w:jc w:val="center"/>
              <w:rPr>
                <w:rFonts w:hint="eastAsia" w:ascii="黑体" w:hAnsi="宋体" w:eastAsia="黑体" w:cs="黑体"/>
                <w:i w:val="0"/>
                <w:iCs w:val="0"/>
                <w:caps w:val="0"/>
                <w:color w:val="000000"/>
                <w:spacing w:val="0"/>
                <w:kern w:val="0"/>
                <w:sz w:val="24"/>
                <w:szCs w:val="24"/>
                <w:lang w:val="en-US" w:eastAsia="zh-CN" w:bidi="ar"/>
              </w:rPr>
            </w:pPr>
          </w:p>
          <w:p w14:paraId="26D830D6">
            <w:pPr>
              <w:jc w:val="center"/>
              <w:rPr>
                <w:rFonts w:hint="default" w:ascii="黑体" w:hAnsi="宋体" w:eastAsia="黑体" w:cs="黑体"/>
                <w:i w:val="0"/>
                <w:iCs w:val="0"/>
                <w:caps w:val="0"/>
                <w:color w:val="000000"/>
                <w:spacing w:val="0"/>
                <w:kern w:val="0"/>
                <w:sz w:val="24"/>
                <w:szCs w:val="24"/>
                <w:lang w:val="en-US" w:eastAsia="zh-CN" w:bidi="ar"/>
              </w:rPr>
            </w:pPr>
            <w:r>
              <w:rPr>
                <w:rFonts w:hint="eastAsia" w:ascii="黑体" w:hAnsi="宋体" w:eastAsia="黑体" w:cs="黑体"/>
                <w:i w:val="0"/>
                <w:iCs w:val="0"/>
                <w:caps w:val="0"/>
                <w:color w:val="000000"/>
                <w:spacing w:val="0"/>
                <w:kern w:val="0"/>
                <w:sz w:val="24"/>
                <w:szCs w:val="24"/>
                <w:lang w:val="en-US" w:eastAsia="zh-CN" w:bidi="ar"/>
              </w:rPr>
              <w:t>处罚结果</w:t>
            </w:r>
          </w:p>
        </w:tc>
      </w:tr>
      <w:tr w14:paraId="6DA3A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247" w:type="pct"/>
            <w:vMerge w:val="restart"/>
          </w:tcPr>
          <w:p w14:paraId="1DFDDFB6">
            <w:pPr>
              <w:jc w:val="center"/>
              <w:rPr>
                <w:rFonts w:hint="eastAsia"/>
                <w:vertAlign w:val="baseline"/>
                <w:lang w:val="en-US" w:eastAsia="zh-CN"/>
              </w:rPr>
            </w:pPr>
          </w:p>
          <w:p w14:paraId="43AD1E9C">
            <w:pPr>
              <w:jc w:val="center"/>
              <w:rPr>
                <w:rFonts w:hint="eastAsia"/>
                <w:vertAlign w:val="baseline"/>
                <w:lang w:val="en-US" w:eastAsia="zh-CN"/>
              </w:rPr>
            </w:pPr>
          </w:p>
          <w:p w14:paraId="0A6D8F82">
            <w:pPr>
              <w:jc w:val="center"/>
              <w:rPr>
                <w:rFonts w:hint="eastAsia"/>
                <w:vertAlign w:val="baseline"/>
                <w:lang w:val="en-US" w:eastAsia="zh-CN"/>
              </w:rPr>
            </w:pPr>
          </w:p>
          <w:p w14:paraId="253755C5">
            <w:pPr>
              <w:jc w:val="both"/>
              <w:rPr>
                <w:rFonts w:hint="eastAsia"/>
                <w:vertAlign w:val="baseline"/>
                <w:lang w:val="en-US" w:eastAsia="zh-CN"/>
              </w:rPr>
            </w:pPr>
          </w:p>
          <w:p w14:paraId="3724E3E7">
            <w:pPr>
              <w:ind w:firstLine="210" w:firstLineChars="100"/>
              <w:jc w:val="both"/>
              <w:rPr>
                <w:rFonts w:hint="default"/>
                <w:vertAlign w:val="baseline"/>
                <w:lang w:val="en-US" w:eastAsia="zh-CN"/>
              </w:rPr>
            </w:pPr>
            <w:r>
              <w:rPr>
                <w:rFonts w:hint="eastAsia"/>
                <w:vertAlign w:val="baseline"/>
                <w:lang w:val="en-US" w:eastAsia="zh-CN"/>
              </w:rPr>
              <w:t>1</w:t>
            </w:r>
          </w:p>
        </w:tc>
        <w:tc>
          <w:tcPr>
            <w:tcW w:w="470" w:type="pct"/>
            <w:shd w:val="clear" w:color="auto" w:fill="auto"/>
            <w:vAlign w:val="top"/>
          </w:tcPr>
          <w:p w14:paraId="691B62D9">
            <w:pPr>
              <w:rPr>
                <w:rFonts w:hint="eastAsia"/>
              </w:rPr>
            </w:pPr>
          </w:p>
          <w:p w14:paraId="5C4EB449">
            <w:pPr>
              <w:rPr>
                <w:rFonts w:hint="eastAsia" w:asciiTheme="minorHAnsi" w:hAnsiTheme="minorHAnsi" w:eastAsiaTheme="minorEastAsia" w:cstheme="minorBidi"/>
                <w:kern w:val="2"/>
                <w:sz w:val="21"/>
                <w:szCs w:val="24"/>
                <w:vertAlign w:val="baseline"/>
                <w:lang w:val="en-US" w:eastAsia="zh-CN" w:bidi="ar-SA"/>
              </w:rPr>
            </w:pPr>
            <w:r>
              <w:rPr>
                <w:rFonts w:hint="eastAsia"/>
              </w:rPr>
              <w:t>单位不办理住房公积金缴存登记</w:t>
            </w:r>
          </w:p>
        </w:tc>
        <w:tc>
          <w:tcPr>
            <w:tcW w:w="1861" w:type="pct"/>
            <w:vMerge w:val="restart"/>
          </w:tcPr>
          <w:p w14:paraId="5975C6DF">
            <w:pPr>
              <w:ind w:firstLine="420" w:firstLineChars="200"/>
              <w:rPr>
                <w:rFonts w:hint="default"/>
                <w:vertAlign w:val="baseline"/>
                <w:lang w:val="en-US" w:eastAsia="zh-CN"/>
              </w:rPr>
            </w:pPr>
            <w:r>
              <w:rPr>
                <w:rFonts w:hint="eastAsia"/>
              </w:rPr>
              <w:t>《中华人民共和国行政处罚法》</w:t>
            </w:r>
            <w:r>
              <w:rPr>
                <w:rFonts w:hint="default"/>
              </w:rPr>
              <w:t>​</w:t>
            </w:r>
            <w:r>
              <w:rPr>
                <w:rFonts w:hint="eastAsia"/>
              </w:rPr>
              <w:t>第33条　违法行为轻微并及时改正，没有造成危害后果的，不予行政处罚。初次违法且危害后果轻微并及时改正的，可以不予行政处罚。</w:t>
            </w:r>
            <w:r>
              <w:rPr>
                <w:rFonts w:hint="eastAsia"/>
              </w:rPr>
              <w:br w:type="textWrapping"/>
            </w:r>
            <w:r>
              <w:rPr>
                <w:rFonts w:hint="eastAsia"/>
                <w:lang w:val="en-US" w:eastAsia="zh-CN"/>
              </w:rPr>
              <w:t xml:space="preserve">    </w:t>
            </w:r>
            <w:r>
              <w:rPr>
                <w:rFonts w:hint="eastAsia"/>
              </w:rPr>
              <w:t>《住房公积金管理条例》第37条</w:t>
            </w:r>
            <w:r>
              <w:rPr>
                <w:rFonts w:hint="eastAsia"/>
                <w:lang w:val="en-US" w:eastAsia="zh-CN"/>
              </w:rPr>
              <w:t xml:space="preserve"> </w:t>
            </w:r>
            <w:r>
              <w:rPr>
                <w:rFonts w:hint="eastAsia"/>
              </w:rPr>
              <w:t>违反本条例的规定，单位不办理住房公积金缴存登记或者不为本单位职工办理住房公积金账户设立手续的，由住房公积金管理中心责令限期办理；逾期不办理的，处1万元以上5万元以下的罚款。</w:t>
            </w:r>
          </w:p>
        </w:tc>
        <w:tc>
          <w:tcPr>
            <w:tcW w:w="1245" w:type="pct"/>
          </w:tcPr>
          <w:p w14:paraId="00E1AB2B">
            <w:pPr>
              <w:numPr>
                <w:ilvl w:val="0"/>
                <w:numId w:val="5"/>
              </w:numPr>
              <w:rPr>
                <w:rFonts w:hint="default"/>
                <w:vertAlign w:val="baseline"/>
                <w:lang w:val="en-US" w:eastAsia="zh-CN"/>
              </w:rPr>
            </w:pPr>
            <w:r>
              <w:rPr>
                <w:rFonts w:hint="eastAsia"/>
                <w:lang w:val="en-US" w:eastAsia="zh-CN"/>
              </w:rPr>
              <w:t>初次违法并</w:t>
            </w:r>
            <w:r>
              <w:rPr>
                <w:rFonts w:hint="eastAsia"/>
              </w:rPr>
              <w:t>及时改正，</w:t>
            </w:r>
            <w:r>
              <w:rPr>
                <w:rFonts w:hint="eastAsia"/>
                <w:lang w:val="en-US" w:eastAsia="zh-CN"/>
              </w:rPr>
              <w:t>且</w:t>
            </w:r>
            <w:r>
              <w:rPr>
                <w:rFonts w:hint="eastAsia"/>
              </w:rPr>
              <w:t>没有造成危害后果的</w:t>
            </w:r>
            <w:r>
              <w:rPr>
                <w:rFonts w:hint="eastAsia"/>
                <w:lang w:eastAsia="zh-CN"/>
              </w:rPr>
              <w:t>。</w:t>
            </w:r>
          </w:p>
          <w:p w14:paraId="7821AE27">
            <w:pPr>
              <w:numPr>
                <w:ilvl w:val="0"/>
                <w:numId w:val="0"/>
              </w:numPr>
              <w:rPr>
                <w:rFonts w:hint="default"/>
                <w:vertAlign w:val="baseline"/>
                <w:lang w:val="en-US" w:eastAsia="zh-CN"/>
              </w:rPr>
            </w:pPr>
            <w:r>
              <w:rPr>
                <w:rFonts w:hint="eastAsia"/>
                <w:lang w:val="en-US" w:eastAsia="zh-CN"/>
              </w:rPr>
              <w:t xml:space="preserve">2. </w:t>
            </w:r>
            <w:r>
              <w:rPr>
                <w:rFonts w:hint="eastAsia"/>
              </w:rPr>
              <w:t>有合法确凿的证据证明，住房公积金违法行为当事人无力缴纳住房公积金的。</w:t>
            </w:r>
          </w:p>
        </w:tc>
        <w:tc>
          <w:tcPr>
            <w:tcW w:w="1175" w:type="pct"/>
          </w:tcPr>
          <w:p w14:paraId="78BCF88B">
            <w:pPr>
              <w:rPr>
                <w:rFonts w:hint="eastAsia"/>
                <w:vertAlign w:val="baseline"/>
                <w:lang w:val="en-US" w:eastAsia="zh-CN"/>
              </w:rPr>
            </w:pPr>
          </w:p>
          <w:p w14:paraId="7A87030A">
            <w:pPr>
              <w:rPr>
                <w:rFonts w:hint="eastAsia"/>
                <w:vertAlign w:val="baseline"/>
                <w:lang w:val="en-US" w:eastAsia="zh-CN"/>
              </w:rPr>
            </w:pPr>
          </w:p>
          <w:p w14:paraId="04585301">
            <w:pPr>
              <w:rPr>
                <w:rFonts w:hint="default"/>
                <w:vertAlign w:val="baseline"/>
                <w:lang w:val="en-US" w:eastAsia="zh-CN"/>
              </w:rPr>
            </w:pPr>
            <w:r>
              <w:rPr>
                <w:rFonts w:hint="eastAsia"/>
                <w:vertAlign w:val="baseline"/>
                <w:lang w:val="en-US" w:eastAsia="zh-CN"/>
              </w:rPr>
              <w:t>可以不予行政处罚</w:t>
            </w:r>
          </w:p>
        </w:tc>
      </w:tr>
      <w:tr w14:paraId="3DB19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8" w:hRule="atLeast"/>
        </w:trPr>
        <w:tc>
          <w:tcPr>
            <w:tcW w:w="247" w:type="pct"/>
            <w:vMerge w:val="continue"/>
          </w:tcPr>
          <w:p w14:paraId="3C3B32D6">
            <w:pPr>
              <w:jc w:val="center"/>
              <w:rPr>
                <w:rFonts w:hint="default"/>
                <w:vertAlign w:val="baseline"/>
                <w:lang w:val="en-US" w:eastAsia="zh-CN"/>
              </w:rPr>
            </w:pPr>
          </w:p>
        </w:tc>
        <w:tc>
          <w:tcPr>
            <w:tcW w:w="470" w:type="pct"/>
            <w:shd w:val="clear" w:color="auto" w:fill="auto"/>
            <w:vAlign w:val="top"/>
          </w:tcPr>
          <w:p w14:paraId="56CF4C6C">
            <w:pPr>
              <w:rPr>
                <w:rFonts w:hint="eastAsia"/>
              </w:rPr>
            </w:pPr>
          </w:p>
          <w:p w14:paraId="24F4C55C">
            <w:pPr>
              <w:rPr>
                <w:rFonts w:hint="default" w:asciiTheme="minorHAnsi" w:hAnsiTheme="minorHAnsi" w:eastAsiaTheme="minorEastAsia" w:cstheme="minorBidi"/>
                <w:kern w:val="2"/>
                <w:sz w:val="21"/>
                <w:szCs w:val="24"/>
                <w:vertAlign w:val="baseline"/>
                <w:lang w:val="en-US" w:eastAsia="zh-CN" w:bidi="ar-SA"/>
              </w:rPr>
            </w:pPr>
            <w:r>
              <w:rPr>
                <w:rFonts w:hint="eastAsia"/>
              </w:rPr>
              <w:t>不为本单位职工办理住房公积金账户设立手续</w:t>
            </w:r>
          </w:p>
        </w:tc>
        <w:tc>
          <w:tcPr>
            <w:tcW w:w="1861" w:type="pct"/>
            <w:vMerge w:val="continue"/>
          </w:tcPr>
          <w:p w14:paraId="55143419">
            <w:pPr>
              <w:rPr>
                <w:rFonts w:hint="default"/>
                <w:vertAlign w:val="baseline"/>
                <w:lang w:val="en-US" w:eastAsia="zh-CN"/>
              </w:rPr>
            </w:pPr>
          </w:p>
        </w:tc>
        <w:tc>
          <w:tcPr>
            <w:tcW w:w="1245" w:type="pct"/>
          </w:tcPr>
          <w:p w14:paraId="1A08D5AB">
            <w:pPr>
              <w:numPr>
                <w:ilvl w:val="0"/>
                <w:numId w:val="6"/>
              </w:numPr>
              <w:rPr>
                <w:rFonts w:hint="default"/>
                <w:vertAlign w:val="baseline"/>
                <w:lang w:val="en-US" w:eastAsia="zh-CN"/>
              </w:rPr>
            </w:pPr>
            <w:r>
              <w:rPr>
                <w:rFonts w:hint="eastAsia"/>
                <w:lang w:val="en-US" w:eastAsia="zh-CN"/>
              </w:rPr>
              <w:t>初次违法并</w:t>
            </w:r>
            <w:r>
              <w:rPr>
                <w:rFonts w:hint="eastAsia"/>
              </w:rPr>
              <w:t>及时改正，</w:t>
            </w:r>
            <w:r>
              <w:rPr>
                <w:rFonts w:hint="eastAsia"/>
                <w:lang w:val="en-US" w:eastAsia="zh-CN"/>
              </w:rPr>
              <w:t>且</w:t>
            </w:r>
            <w:r>
              <w:rPr>
                <w:rFonts w:hint="eastAsia"/>
              </w:rPr>
              <w:t>没有造成危害后果的</w:t>
            </w:r>
            <w:r>
              <w:rPr>
                <w:rFonts w:hint="eastAsia"/>
                <w:lang w:eastAsia="zh-CN"/>
              </w:rPr>
              <w:t>。</w:t>
            </w:r>
          </w:p>
          <w:p w14:paraId="6CD55956">
            <w:pPr>
              <w:numPr>
                <w:ilvl w:val="0"/>
                <w:numId w:val="0"/>
              </w:numPr>
              <w:rPr>
                <w:rFonts w:hint="default"/>
                <w:vertAlign w:val="baseline"/>
                <w:lang w:val="en-US" w:eastAsia="zh-CN"/>
              </w:rPr>
            </w:pPr>
            <w:r>
              <w:rPr>
                <w:rFonts w:hint="eastAsia"/>
                <w:lang w:val="en-US" w:eastAsia="zh-CN"/>
              </w:rPr>
              <w:t xml:space="preserve">2. </w:t>
            </w:r>
            <w:r>
              <w:rPr>
                <w:rFonts w:hint="eastAsia"/>
              </w:rPr>
              <w:t>有合法确凿的证据证明，住房公积金违法行为当事人无力缴纳住房公积金的。</w:t>
            </w:r>
          </w:p>
        </w:tc>
        <w:tc>
          <w:tcPr>
            <w:tcW w:w="1175" w:type="pct"/>
          </w:tcPr>
          <w:p w14:paraId="51BAC3AE">
            <w:pPr>
              <w:rPr>
                <w:rFonts w:hint="eastAsia"/>
                <w:vertAlign w:val="baseline"/>
                <w:lang w:val="en-US" w:eastAsia="zh-CN"/>
              </w:rPr>
            </w:pPr>
          </w:p>
          <w:p w14:paraId="7A6622B0">
            <w:pPr>
              <w:rPr>
                <w:rFonts w:hint="eastAsia"/>
                <w:vertAlign w:val="baseline"/>
                <w:lang w:val="en-US" w:eastAsia="zh-CN"/>
              </w:rPr>
            </w:pPr>
          </w:p>
          <w:p w14:paraId="26015157">
            <w:pPr>
              <w:rPr>
                <w:rFonts w:hint="default"/>
                <w:vertAlign w:val="baseline"/>
                <w:lang w:val="en-US" w:eastAsia="zh-CN"/>
              </w:rPr>
            </w:pPr>
            <w:r>
              <w:rPr>
                <w:rFonts w:hint="eastAsia"/>
                <w:vertAlign w:val="baseline"/>
                <w:lang w:val="en-US" w:eastAsia="zh-CN"/>
              </w:rPr>
              <w:t>可以不予行政处罚</w:t>
            </w:r>
          </w:p>
        </w:tc>
      </w:tr>
    </w:tbl>
    <w:p w14:paraId="10B1070D">
      <w:pPr>
        <w:widowControl w:val="0"/>
        <w:wordWrap/>
        <w:adjustRightInd/>
        <w:snapToGrid/>
        <w:spacing w:line="560" w:lineRule="exact"/>
        <w:jc w:val="left"/>
        <w:textAlignment w:val="auto"/>
        <w:rPr>
          <w:rFonts w:hint="eastAsia" w:ascii="仿宋_GB2312" w:hAnsi="方正小标宋简体" w:eastAsia="仿宋_GB2312"/>
          <w:sz w:val="32"/>
          <w:szCs w:val="32"/>
          <w:lang w:val="en-US" w:eastAsia="zh-CN"/>
        </w:rPr>
      </w:pPr>
    </w:p>
    <w:p w14:paraId="5D4EF428"/>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panose1 w:val="02000000000000000000"/>
    <w:charset w:val="86"/>
    <w:family w:val="auto"/>
    <w:pitch w:val="default"/>
    <w:sig w:usb0="00000001" w:usb1="08000000" w:usb2="00000000" w:usb3="00000000" w:csb0="00040000" w:csb1="00000000"/>
  </w:font>
  <w:font w:name="等线">
    <w:altName w:val="Noto Sans CJK SC"/>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大标宋简体">
    <w:panose1 w:val="03000509000000000000"/>
    <w:charset w:val="86"/>
    <w:family w:val="auto"/>
    <w:pitch w:val="default"/>
    <w:sig w:usb0="00000001" w:usb1="080E0000" w:usb2="00000000" w:usb3="00000000" w:csb0="00040000" w:csb1="00000000"/>
  </w:font>
  <w:font w:name="思源黑体 CN Regular">
    <w:panose1 w:val="020B0500000000000000"/>
    <w:charset w:val="86"/>
    <w:family w:val="auto"/>
    <w:pitch w:val="default"/>
    <w:sig w:usb0="20000003" w:usb1="2ADF3C10" w:usb2="00000016" w:usb3="00000000" w:csb0="60060107" w:csb1="00000000"/>
  </w:font>
  <w:font w:name="Noto Sans CJK SC">
    <w:panose1 w:val="020B0500000000000000"/>
    <w:charset w:val="86"/>
    <w:family w:val="auto"/>
    <w:pitch w:val="default"/>
    <w:sig w:usb0="30000083" w:usb1="2BDF3C10" w:usb2="00000016" w:usb3="00000000" w:csb0="602E010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EE0FD8"/>
    <w:multiLevelType w:val="singleLevel"/>
    <w:tmpl w:val="A0EE0FD8"/>
    <w:lvl w:ilvl="0" w:tentative="0">
      <w:start w:val="1"/>
      <w:numFmt w:val="decimal"/>
      <w:suff w:val="space"/>
      <w:lvlText w:val="%1."/>
      <w:lvlJc w:val="left"/>
    </w:lvl>
  </w:abstractNum>
  <w:abstractNum w:abstractNumId="1">
    <w:nsid w:val="AB179ABA"/>
    <w:multiLevelType w:val="singleLevel"/>
    <w:tmpl w:val="AB179ABA"/>
    <w:lvl w:ilvl="0" w:tentative="0">
      <w:start w:val="1"/>
      <w:numFmt w:val="decimal"/>
      <w:suff w:val="space"/>
      <w:lvlText w:val="%1."/>
      <w:lvlJc w:val="left"/>
    </w:lvl>
  </w:abstractNum>
  <w:abstractNum w:abstractNumId="2">
    <w:nsid w:val="B80A1D76"/>
    <w:multiLevelType w:val="singleLevel"/>
    <w:tmpl w:val="B80A1D76"/>
    <w:lvl w:ilvl="0" w:tentative="0">
      <w:start w:val="1"/>
      <w:numFmt w:val="decimal"/>
      <w:suff w:val="space"/>
      <w:lvlText w:val="%1."/>
      <w:lvlJc w:val="left"/>
    </w:lvl>
  </w:abstractNum>
  <w:abstractNum w:abstractNumId="3">
    <w:nsid w:val="D1DA014A"/>
    <w:multiLevelType w:val="singleLevel"/>
    <w:tmpl w:val="D1DA014A"/>
    <w:lvl w:ilvl="0" w:tentative="0">
      <w:start w:val="1"/>
      <w:numFmt w:val="decimal"/>
      <w:suff w:val="space"/>
      <w:lvlText w:val="%1."/>
      <w:lvlJc w:val="left"/>
    </w:lvl>
  </w:abstractNum>
  <w:abstractNum w:abstractNumId="4">
    <w:nsid w:val="F604AABC"/>
    <w:multiLevelType w:val="singleLevel"/>
    <w:tmpl w:val="F604AABC"/>
    <w:lvl w:ilvl="0" w:tentative="0">
      <w:start w:val="1"/>
      <w:numFmt w:val="decimal"/>
      <w:suff w:val="space"/>
      <w:lvlText w:val="%1."/>
      <w:lvlJc w:val="left"/>
    </w:lvl>
  </w:abstractNum>
  <w:abstractNum w:abstractNumId="5">
    <w:nsid w:val="3D5DE94D"/>
    <w:multiLevelType w:val="singleLevel"/>
    <w:tmpl w:val="3D5DE94D"/>
    <w:lvl w:ilvl="0" w:tentative="0">
      <w:start w:val="1"/>
      <w:numFmt w:val="decimal"/>
      <w:suff w:val="space"/>
      <w:lvlText w:val="%1."/>
      <w:lvlJc w:val="left"/>
    </w:lvl>
  </w:abstractNum>
  <w:num w:numId="1">
    <w:abstractNumId w:val="1"/>
  </w:num>
  <w:num w:numId="2">
    <w:abstractNumId w:val="3"/>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7F724D"/>
    <w:rsid w:val="777F724D"/>
    <w:rsid w:val="F7B3D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p0"/>
    <w:basedOn w:val="1"/>
    <w:qFormat/>
    <w:uiPriority w:val="0"/>
    <w:pPr>
      <w:widowControl/>
    </w:pPr>
    <w:rPr>
      <w:rFonts w:ascii="等线" w:hAnsi="等线" w:cs="宋体"/>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Office_12.8.2.20327_F1E327BC-269C-435d-A152-05C5408002CA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2025-07-17T14:58:00Z</dcterms:created>
  <dc:creator>王欢</dc:creator>
  <cp:lastModifiedBy>王欢</cp:lastModifiedBy>
  <dcterms:modified xsi:type="dcterms:W3CDTF">2025-07-17T15:00:47Z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2052-12.8.2.20327</vt:lpwstr>
  </property>
  <property fmtid="{D5CDD505-2E9C-101B-9397-08002B2CF9AE}" pid="3" name="ICV">
    <vt:lpwstr>65BEC890A5389F24229F78681D9E9C00_41</vt:lpwstr>
  </property>
</Properties>
</file>